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52" w:rsidRPr="00EE4FA1" w:rsidRDefault="00F84952" w:rsidP="00F84952">
      <w:pPr>
        <w:jc w:val="right"/>
        <w:rPr>
          <w:rFonts w:ascii="Times New Roman" w:eastAsia="Calibri" w:hAnsi="Times New Roman" w:cs="Times New Roman"/>
          <w:sz w:val="24"/>
          <w:szCs w:val="24"/>
        </w:rPr>
      </w:pPr>
      <w:r w:rsidRPr="00EE4FA1">
        <w:rPr>
          <w:rFonts w:ascii="Times New Roman" w:eastAsia="Calibri" w:hAnsi="Times New Roman" w:cs="Times New Roman"/>
          <w:sz w:val="24"/>
          <w:szCs w:val="24"/>
        </w:rPr>
        <w:t>Прилог 2.</w:t>
      </w:r>
    </w:p>
    <w:p w:rsidR="00F84952" w:rsidRDefault="00F84952" w:rsidP="00F84952">
      <w:pPr>
        <w:jc w:val="center"/>
        <w:rPr>
          <w:rFonts w:ascii="Times New Roman" w:eastAsia="Calibri" w:hAnsi="Times New Roman" w:cs="Times New Roman"/>
          <w:sz w:val="24"/>
          <w:szCs w:val="24"/>
        </w:rPr>
      </w:pPr>
      <w:r w:rsidRPr="00EE4FA1">
        <w:rPr>
          <w:rFonts w:ascii="Times New Roman" w:eastAsia="Calibri" w:hAnsi="Times New Roman" w:cs="Times New Roman"/>
          <w:sz w:val="24"/>
          <w:szCs w:val="24"/>
        </w:rPr>
        <w:t>ВОДИЧ ЗА МЕДИЦИНСКА СРЕДСТВА, IN VITRO ДИЈАГНОСТИЧКА МЕДИЦИНСКА СРЕДСТВА, ГРАНИЧНЕ ПРОИЗВОДЕ И КЛАСИФИКАЦИЈУ ЗА ПРОИЗВОЂАЧЕ И ТЕЛА ЗА ОЦЕЊИВАЊЕ УСАГЛАШЕНОСТИ</w:t>
      </w:r>
      <w:r w:rsidRPr="00EE4FA1">
        <w:rPr>
          <w:rFonts w:ascii="Calibri" w:eastAsia="Calibri" w:hAnsi="Calibri" w:cs="Times New Roman"/>
        </w:rPr>
        <w:t xml:space="preserve"> </w:t>
      </w:r>
      <w:r w:rsidRPr="00EE4FA1">
        <w:rPr>
          <w:rFonts w:ascii="Times New Roman" w:eastAsia="Calibri" w:hAnsi="Times New Roman" w:cs="Times New Roman"/>
          <w:sz w:val="24"/>
          <w:szCs w:val="24"/>
        </w:rPr>
        <w:t xml:space="preserve"> </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Овај водич није потпуна листа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дијагностичких медицинских средстава, прибора и медицинских средстава. Други детаљни примери дати су у Приручнику о граничним производима и класификацији у </w:t>
      </w:r>
      <w:proofErr w:type="spellStart"/>
      <w:r w:rsidRPr="00EE4FA1">
        <w:rPr>
          <w:rFonts w:ascii="Times New Roman" w:eastAsia="Calibri" w:hAnsi="Times New Roman" w:cs="Times New Roman"/>
          <w:sz w:val="24"/>
          <w:szCs w:val="24"/>
        </w:rPr>
        <w:t>регулаторном</w:t>
      </w:r>
      <w:proofErr w:type="spellEnd"/>
      <w:r w:rsidRPr="00EE4FA1">
        <w:rPr>
          <w:rFonts w:ascii="Times New Roman" w:eastAsia="Calibri" w:hAnsi="Times New Roman" w:cs="Times New Roman"/>
          <w:sz w:val="24"/>
          <w:szCs w:val="24"/>
        </w:rPr>
        <w:t xml:space="preserve"> оквиру ЕУ за медицинска средства који је објављен на интернет страници Европске комисије.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Овај документ је ревизија раније објављеног документа у јануару 2004 као MEDDEV 2.14/1 </w:t>
      </w:r>
      <w:proofErr w:type="spellStart"/>
      <w:r w:rsidRPr="00EE4FA1">
        <w:rPr>
          <w:rFonts w:ascii="Times New Roman" w:eastAsia="Calibri" w:hAnsi="Times New Roman" w:cs="Times New Roman"/>
          <w:sz w:val="24"/>
          <w:szCs w:val="24"/>
        </w:rPr>
        <w:t>rev</w:t>
      </w:r>
      <w:proofErr w:type="spellEnd"/>
      <w:r w:rsidRPr="00EE4FA1">
        <w:rPr>
          <w:rFonts w:ascii="Times New Roman" w:eastAsia="Calibri" w:hAnsi="Times New Roman" w:cs="Times New Roman"/>
          <w:sz w:val="24"/>
          <w:szCs w:val="24"/>
        </w:rPr>
        <w:t xml:space="preserve"> 1.  </w:t>
      </w:r>
    </w:p>
    <w:p w:rsidR="00F84952" w:rsidRPr="00EE4FA1" w:rsidRDefault="00F84952" w:rsidP="00F84952">
      <w:pPr>
        <w:pStyle w:val="NoSpacing"/>
      </w:pPr>
    </w:p>
    <w:p w:rsidR="00F84952" w:rsidRPr="00EE4FA1" w:rsidRDefault="00F84952" w:rsidP="00F84952">
      <w:pPr>
        <w:jc w:val="center"/>
        <w:rPr>
          <w:rFonts w:ascii="Times New Roman" w:eastAsia="Calibri" w:hAnsi="Times New Roman" w:cs="Times New Roman"/>
          <w:sz w:val="24"/>
          <w:szCs w:val="24"/>
        </w:rPr>
      </w:pPr>
      <w:r w:rsidRPr="00EE4FA1">
        <w:rPr>
          <w:rFonts w:ascii="Times New Roman" w:eastAsia="Calibri" w:hAnsi="Times New Roman" w:cs="Times New Roman"/>
          <w:sz w:val="24"/>
          <w:szCs w:val="24"/>
        </w:rPr>
        <w:t>IN VITRO ДИЈАГНОСТИЧКА МЕДИЦИНСКА СРЕДСТВА: ПИТАЊА ГРАНИЧНИХ ПРОИЗВОДА</w:t>
      </w:r>
    </w:p>
    <w:p w:rsidR="00F84952" w:rsidRPr="00EE4FA1" w:rsidRDefault="00F84952" w:rsidP="00F84952">
      <w:pPr>
        <w:rPr>
          <w:rFonts w:ascii="Times New Roman" w:eastAsia="Calibri" w:hAnsi="Times New Roman" w:cs="Times New Roman"/>
          <w:sz w:val="24"/>
          <w:szCs w:val="24"/>
        </w:rPr>
      </w:pPr>
      <w:r w:rsidRPr="00EE4FA1">
        <w:rPr>
          <w:rFonts w:ascii="Times New Roman" w:eastAsia="Calibri" w:hAnsi="Times New Roman" w:cs="Times New Roman"/>
          <w:sz w:val="24"/>
          <w:szCs w:val="24"/>
        </w:rPr>
        <w:t>1. Увод</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Разграничење између прописа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и других прописа, а посебно оних којима се уређују медицинска средства (општа) је од круцијалног значаја за њихову правилну примену. Квалификација производа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има утицај на:</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EE4FA1">
        <w:rPr>
          <w:rFonts w:ascii="Times New Roman" w:eastAsia="Calibri" w:hAnsi="Times New Roman" w:cs="Times New Roman"/>
          <w:sz w:val="24"/>
          <w:szCs w:val="24"/>
        </w:rPr>
        <w:t xml:space="preserve"> основне захтеве и поступак оцењивања усаглашености</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EE4FA1">
        <w:rPr>
          <w:rFonts w:ascii="Times New Roman" w:eastAsia="Calibri" w:hAnsi="Times New Roman" w:cs="Times New Roman"/>
          <w:sz w:val="24"/>
          <w:szCs w:val="24"/>
        </w:rPr>
        <w:t xml:space="preserve"> одговарајуће техничке спецификације под претпоставком усаглашености (заједничке техничке спецификације и хармонизовани стандарди)</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E4FA1">
        <w:rPr>
          <w:rFonts w:ascii="Times New Roman" w:eastAsia="Calibri" w:hAnsi="Times New Roman" w:cs="Times New Roman"/>
          <w:sz w:val="24"/>
          <w:szCs w:val="24"/>
        </w:rPr>
        <w:t xml:space="preserve"> избор одговарајућег тела за оцењивање усаглашености које ће спровести поступак оцењивања усаглашености.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Разграничење између прописа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и прописа којима се уређују медицинска средства (општа) је од фундаменталног значаја, те је препознато да се мора даље објаснити практичним водичем.</w:t>
      </w:r>
    </w:p>
    <w:p w:rsidR="00F84952" w:rsidRPr="00EE4FA1" w:rsidRDefault="00F84952" w:rsidP="00F84952">
      <w:pPr>
        <w:pStyle w:val="NoSpacing"/>
      </w:pPr>
    </w:p>
    <w:p w:rsidR="00F84952" w:rsidRPr="00EE4FA1" w:rsidRDefault="00F84952" w:rsidP="00F84952">
      <w:pPr>
        <w:jc w:val="center"/>
        <w:rPr>
          <w:rFonts w:ascii="Times New Roman" w:eastAsia="Calibri" w:hAnsi="Times New Roman" w:cs="Times New Roman"/>
          <w:sz w:val="24"/>
          <w:szCs w:val="24"/>
        </w:rPr>
      </w:pPr>
      <w:r w:rsidRPr="00EE4FA1">
        <w:rPr>
          <w:rFonts w:ascii="Times New Roman" w:eastAsia="Calibri" w:hAnsi="Times New Roman" w:cs="Times New Roman"/>
          <w:sz w:val="24"/>
          <w:szCs w:val="24"/>
        </w:rPr>
        <w:t>Део А - Квалификација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 Генерални принципи квалификације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Приликом одлучивања да ли се на производ примењују прописи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примарно се узима у обзир члан 2. тачка 3) Закона.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1.1. Дефиниција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медицинског средства: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је свако медицинско средство које је </w:t>
      </w:r>
      <w:proofErr w:type="spellStart"/>
      <w:r w:rsidRPr="00EE4FA1">
        <w:rPr>
          <w:rFonts w:ascii="Times New Roman" w:eastAsia="Calibri" w:hAnsi="Times New Roman" w:cs="Times New Roman"/>
          <w:sz w:val="24"/>
          <w:szCs w:val="24"/>
        </w:rPr>
        <w:t>реагенс</w:t>
      </w:r>
      <w:proofErr w:type="spellEnd"/>
      <w:r w:rsidRPr="00EE4FA1">
        <w:rPr>
          <w:rFonts w:ascii="Times New Roman" w:eastAsia="Calibri" w:hAnsi="Times New Roman" w:cs="Times New Roman"/>
          <w:sz w:val="24"/>
          <w:szCs w:val="24"/>
        </w:rPr>
        <w:t xml:space="preserve">, производ </w:t>
      </w:r>
      <w:proofErr w:type="spellStart"/>
      <w:r w:rsidRPr="00EE4FA1">
        <w:rPr>
          <w:rFonts w:ascii="Times New Roman" w:eastAsia="Calibri" w:hAnsi="Times New Roman" w:cs="Times New Roman"/>
          <w:sz w:val="24"/>
          <w:szCs w:val="24"/>
        </w:rPr>
        <w:t>реагенса</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калибратор</w:t>
      </w:r>
      <w:proofErr w:type="spellEnd"/>
      <w:r w:rsidRPr="00EE4FA1">
        <w:rPr>
          <w:rFonts w:ascii="Times New Roman" w:eastAsia="Calibri" w:hAnsi="Times New Roman" w:cs="Times New Roman"/>
          <w:sz w:val="24"/>
          <w:szCs w:val="24"/>
        </w:rPr>
        <w:t xml:space="preserve">, контролни материјал, кит, инструмент, апаратура, опрема, </w:t>
      </w:r>
      <w:r w:rsidRPr="00EE4FA1">
        <w:rPr>
          <w:rFonts w:ascii="Times New Roman" w:eastAsia="Calibri" w:hAnsi="Times New Roman" w:cs="Times New Roman"/>
          <w:sz w:val="24"/>
          <w:szCs w:val="24"/>
        </w:rPr>
        <w:lastRenderedPageBreak/>
        <w:t xml:space="preserve">софтвер или систем који се користи самостално или у комбинацији, намењен од произвођача за употребу у in </w:t>
      </w:r>
      <w:proofErr w:type="spellStart"/>
      <w:r w:rsidRPr="00EE4FA1">
        <w:rPr>
          <w:rFonts w:ascii="Times New Roman" w:eastAsia="Calibri" w:hAnsi="Times New Roman" w:cs="Times New Roman"/>
          <w:sz w:val="24"/>
          <w:szCs w:val="24"/>
        </w:rPr>
        <w:t>vitro</w:t>
      </w:r>
      <w:proofErr w:type="spellEnd"/>
      <w:r w:rsidRPr="00EE4FA1">
        <w:rPr>
          <w:rFonts w:ascii="Times New Roman" w:eastAsia="Calibri" w:hAnsi="Times New Roman" w:cs="Times New Roman"/>
          <w:sz w:val="24"/>
          <w:szCs w:val="24"/>
        </w:rPr>
        <w:t> условима за испитивање узорака, укључујући донације крви и ткива хуманог порекла, само или углавном да би се добиле информације које се односе на: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1) физиолошке или патолошке функције или стања</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2) </w:t>
      </w:r>
      <w:proofErr w:type="spellStart"/>
      <w:r w:rsidRPr="00EE4FA1">
        <w:rPr>
          <w:rFonts w:ascii="Times New Roman" w:eastAsia="Calibri" w:hAnsi="Times New Roman" w:cs="Times New Roman"/>
          <w:sz w:val="24"/>
          <w:szCs w:val="24"/>
        </w:rPr>
        <w:t>конгениталне</w:t>
      </w:r>
      <w:proofErr w:type="spellEnd"/>
      <w:r w:rsidRPr="00EE4FA1">
        <w:rPr>
          <w:rFonts w:ascii="Times New Roman" w:eastAsia="Calibri" w:hAnsi="Times New Roman" w:cs="Times New Roman"/>
          <w:sz w:val="24"/>
          <w:szCs w:val="24"/>
        </w:rPr>
        <w:t xml:space="preserve"> физичке или менталне аномалије</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3) </w:t>
      </w:r>
      <w:proofErr w:type="spellStart"/>
      <w:r w:rsidRPr="00EE4FA1">
        <w:rPr>
          <w:rFonts w:ascii="Times New Roman" w:eastAsia="Calibri" w:hAnsi="Times New Roman" w:cs="Times New Roman"/>
          <w:sz w:val="24"/>
          <w:szCs w:val="24"/>
        </w:rPr>
        <w:t>предиспозиције</w:t>
      </w:r>
      <w:proofErr w:type="spellEnd"/>
      <w:r w:rsidRPr="00EE4FA1">
        <w:rPr>
          <w:rFonts w:ascii="Times New Roman" w:eastAsia="Calibri" w:hAnsi="Times New Roman" w:cs="Times New Roman"/>
          <w:sz w:val="24"/>
          <w:szCs w:val="24"/>
        </w:rPr>
        <w:t xml:space="preserve"> за здравствено стање или болест</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4) одређивање сигурности и компатибилности са потенцијалним примаоцем</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5) предвиђање </w:t>
      </w:r>
      <w:r>
        <w:rPr>
          <w:rFonts w:ascii="Times New Roman" w:eastAsia="Calibri" w:hAnsi="Times New Roman" w:cs="Times New Roman"/>
          <w:sz w:val="24"/>
          <w:szCs w:val="24"/>
        </w:rPr>
        <w:t>одговора или реакција на лечење;</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6) дефинисање или праћење терапијских мера.</w:t>
      </w:r>
    </w:p>
    <w:p w:rsidR="00F84952" w:rsidRPr="00EE4FA1" w:rsidRDefault="00F84952" w:rsidP="00F84952">
      <w:pPr>
        <w:jc w:val="both"/>
        <w:rPr>
          <w:rFonts w:ascii="Times New Roman" w:eastAsia="Calibri" w:hAnsi="Times New Roman" w:cs="Times New Roman"/>
          <w:noProof/>
          <w:sz w:val="24"/>
          <w:szCs w:val="24"/>
        </w:rPr>
      </w:pPr>
      <w:r w:rsidRPr="00EE4FA1">
        <w:rPr>
          <w:rFonts w:ascii="Times New Roman" w:eastAsia="Calibri" w:hAnsi="Times New Roman" w:cs="Times New Roman"/>
          <w:noProof/>
          <w:sz w:val="24"/>
          <w:szCs w:val="24"/>
        </w:rPr>
        <w:t>Основне карактеристике</w:t>
      </w:r>
      <w:r w:rsidRPr="00EE4FA1">
        <w:rPr>
          <w:rFonts w:ascii="Times New Roman" w:eastAsia="Calibri" w:hAnsi="Times New Roman" w:cs="Times New Roman"/>
          <w:i/>
          <w:noProof/>
          <w:sz w:val="24"/>
          <w:szCs w:val="24"/>
        </w:rPr>
        <w:t xml:space="preserve"> in vitro</w:t>
      </w:r>
      <w:r w:rsidRPr="00EE4FA1">
        <w:rPr>
          <w:rFonts w:ascii="Times New Roman" w:eastAsia="Calibri" w:hAnsi="Times New Roman" w:cs="Times New Roman"/>
          <w:noProof/>
          <w:sz w:val="24"/>
          <w:szCs w:val="24"/>
        </w:rPr>
        <w:t> дијагностичког медицинског средства су:</w:t>
      </w:r>
    </w:p>
    <w:p w:rsidR="00F84952" w:rsidRPr="00EE4FA1" w:rsidRDefault="00F84952" w:rsidP="00F84952">
      <w:pPr>
        <w:jc w:val="both"/>
        <w:rPr>
          <w:rFonts w:ascii="Times New Roman" w:eastAsia="Calibri" w:hAnsi="Times New Roman" w:cs="Times New Roman"/>
          <w:noProof/>
          <w:sz w:val="24"/>
          <w:szCs w:val="24"/>
        </w:rPr>
      </w:pPr>
      <w:r w:rsidRPr="00EE4FA1">
        <w:rPr>
          <w:rFonts w:ascii="Times New Roman" w:eastAsia="Calibri" w:hAnsi="Times New Roman" w:cs="Times New Roman"/>
          <w:noProof/>
          <w:sz w:val="24"/>
          <w:szCs w:val="24"/>
        </w:rPr>
        <w:t>1</w:t>
      </w:r>
      <w:r>
        <w:rPr>
          <w:rFonts w:ascii="Times New Roman" w:eastAsia="Calibri" w:hAnsi="Times New Roman" w:cs="Times New Roman"/>
          <w:noProof/>
          <w:sz w:val="24"/>
          <w:szCs w:val="24"/>
        </w:rPr>
        <w:t>)</w:t>
      </w:r>
      <w:r w:rsidRPr="00EE4FA1">
        <w:rPr>
          <w:rFonts w:ascii="Times New Roman" w:eastAsia="Calibri" w:hAnsi="Times New Roman" w:cs="Times New Roman"/>
          <w:noProof/>
          <w:sz w:val="24"/>
          <w:szCs w:val="24"/>
        </w:rPr>
        <w:t xml:space="preserve"> да је примарна намена </w:t>
      </w:r>
      <w:r w:rsidRPr="00EE4FA1">
        <w:rPr>
          <w:rFonts w:ascii="Times New Roman" w:eastAsia="Calibri" w:hAnsi="Times New Roman" w:cs="Times New Roman"/>
          <w:i/>
          <w:noProof/>
          <w:sz w:val="24"/>
          <w:szCs w:val="24"/>
        </w:rPr>
        <w:t>in vitro</w:t>
      </w:r>
      <w:r w:rsidRPr="00EE4FA1">
        <w:rPr>
          <w:rFonts w:ascii="Times New Roman" w:eastAsia="Calibri" w:hAnsi="Times New Roman" w:cs="Times New Roman"/>
          <w:noProof/>
          <w:sz w:val="24"/>
          <w:szCs w:val="24"/>
        </w:rPr>
        <w:t xml:space="preserve"> дијагностичког медицинског средства да обезбеди информацију о једној или више </w:t>
      </w:r>
      <w:r>
        <w:rPr>
          <w:rFonts w:ascii="Times New Roman" w:eastAsia="Calibri" w:hAnsi="Times New Roman" w:cs="Times New Roman"/>
          <w:noProof/>
          <w:sz w:val="24"/>
          <w:szCs w:val="24"/>
        </w:rPr>
        <w:t xml:space="preserve">следећих </w:t>
      </w:r>
      <w:r w:rsidRPr="00EE4FA1">
        <w:rPr>
          <w:rFonts w:ascii="Times New Roman" w:eastAsia="Calibri" w:hAnsi="Times New Roman" w:cs="Times New Roman"/>
          <w:noProof/>
          <w:sz w:val="24"/>
          <w:szCs w:val="24"/>
        </w:rPr>
        <w:t>медицинских сврха: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ab/>
      </w:r>
      <w:r>
        <w:rPr>
          <w:rFonts w:ascii="Times New Roman" w:eastAsia="Calibri" w:hAnsi="Times New Roman" w:cs="Times New Roman"/>
          <w:sz w:val="24"/>
          <w:szCs w:val="24"/>
        </w:rPr>
        <w:t>(1)</w:t>
      </w:r>
      <w:r w:rsidRPr="00EE4FA1">
        <w:rPr>
          <w:rFonts w:ascii="Times New Roman" w:eastAsia="Calibri" w:hAnsi="Times New Roman" w:cs="Times New Roman"/>
          <w:sz w:val="24"/>
          <w:szCs w:val="24"/>
        </w:rPr>
        <w:t xml:space="preserve"> информацију о физиолошком стању, нпр. тест менопаузе,</w:t>
      </w:r>
      <w:r w:rsidRPr="00EE4FA1">
        <w:rPr>
          <w:rFonts w:ascii="Calibri" w:eastAsia="Calibri" w:hAnsi="Calibri" w:cs="Times New Roman"/>
        </w:rPr>
        <w:t xml:space="preserve"> </w:t>
      </w:r>
      <w:r w:rsidRPr="00EE4FA1">
        <w:rPr>
          <w:rFonts w:ascii="Times New Roman" w:eastAsia="Calibri" w:hAnsi="Times New Roman" w:cs="Times New Roman"/>
          <w:sz w:val="24"/>
          <w:szCs w:val="24"/>
        </w:rPr>
        <w:t>тест овулације, тест трудноће</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ab/>
      </w:r>
      <w:r>
        <w:rPr>
          <w:rFonts w:ascii="Times New Roman" w:eastAsia="Calibri" w:hAnsi="Times New Roman" w:cs="Times New Roman"/>
          <w:sz w:val="24"/>
          <w:szCs w:val="24"/>
        </w:rPr>
        <w:t>(2)</w:t>
      </w:r>
      <w:r w:rsidRPr="00EE4FA1">
        <w:rPr>
          <w:rFonts w:ascii="Times New Roman" w:eastAsia="Calibri" w:hAnsi="Times New Roman" w:cs="Times New Roman"/>
          <w:sz w:val="24"/>
          <w:szCs w:val="24"/>
        </w:rPr>
        <w:t xml:space="preserve"> информације о патолошком стању, нпр тестирање на HIV,</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ab/>
      </w:r>
      <w:r>
        <w:rPr>
          <w:rFonts w:ascii="Times New Roman" w:eastAsia="Calibri" w:hAnsi="Times New Roman" w:cs="Times New Roman"/>
          <w:sz w:val="24"/>
          <w:szCs w:val="24"/>
        </w:rPr>
        <w:t>(3)</w:t>
      </w:r>
      <w:r w:rsidRPr="00EE4FA1">
        <w:rPr>
          <w:rFonts w:ascii="Times New Roman" w:eastAsia="Calibri" w:hAnsi="Times New Roman" w:cs="Times New Roman"/>
          <w:sz w:val="24"/>
          <w:szCs w:val="24"/>
        </w:rPr>
        <w:t xml:space="preserve"> информације о </w:t>
      </w:r>
      <w:proofErr w:type="spellStart"/>
      <w:r w:rsidRPr="00EE4FA1">
        <w:rPr>
          <w:rFonts w:ascii="Times New Roman" w:eastAsia="Calibri" w:hAnsi="Times New Roman" w:cs="Times New Roman"/>
          <w:sz w:val="24"/>
          <w:szCs w:val="24"/>
        </w:rPr>
        <w:t>конгениталној</w:t>
      </w:r>
      <w:proofErr w:type="spellEnd"/>
      <w:r w:rsidRPr="00EE4FA1">
        <w:rPr>
          <w:rFonts w:ascii="Times New Roman" w:eastAsia="Calibri" w:hAnsi="Times New Roman" w:cs="Times New Roman"/>
          <w:sz w:val="24"/>
          <w:szCs w:val="24"/>
        </w:rPr>
        <w:t xml:space="preserve"> аномалији, нпр. процена ризика од </w:t>
      </w:r>
      <w:proofErr w:type="spellStart"/>
      <w:r w:rsidRPr="00EE4FA1">
        <w:rPr>
          <w:rFonts w:ascii="Times New Roman" w:eastAsia="Calibri" w:hAnsi="Times New Roman" w:cs="Times New Roman"/>
          <w:sz w:val="24"/>
          <w:szCs w:val="24"/>
        </w:rPr>
        <w:t>тризомије</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ab/>
      </w:r>
      <w:r>
        <w:rPr>
          <w:rFonts w:ascii="Times New Roman" w:eastAsia="Calibri" w:hAnsi="Times New Roman" w:cs="Times New Roman"/>
          <w:sz w:val="24"/>
          <w:szCs w:val="24"/>
        </w:rPr>
        <w:t>(4)</w:t>
      </w:r>
      <w:r w:rsidRPr="00EE4FA1">
        <w:rPr>
          <w:rFonts w:ascii="Times New Roman" w:eastAsia="Calibri" w:hAnsi="Times New Roman" w:cs="Times New Roman"/>
          <w:sz w:val="24"/>
          <w:szCs w:val="24"/>
        </w:rPr>
        <w:t xml:space="preserve"> одређивање </w:t>
      </w:r>
      <w:proofErr w:type="spellStart"/>
      <w:r w:rsidRPr="00EE4FA1">
        <w:rPr>
          <w:rFonts w:ascii="Times New Roman" w:eastAsia="Calibri" w:hAnsi="Times New Roman" w:cs="Times New Roman"/>
          <w:sz w:val="24"/>
          <w:szCs w:val="24"/>
        </w:rPr>
        <w:t>предиспозиције</w:t>
      </w:r>
      <w:proofErr w:type="spellEnd"/>
      <w:r w:rsidRPr="00EE4FA1">
        <w:rPr>
          <w:rFonts w:ascii="Times New Roman" w:eastAsia="Calibri" w:hAnsi="Times New Roman" w:cs="Times New Roman"/>
          <w:sz w:val="24"/>
          <w:szCs w:val="24"/>
        </w:rPr>
        <w:t xml:space="preserve"> за здравствено стање или болест,</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ab/>
      </w:r>
      <w:r>
        <w:rPr>
          <w:rFonts w:ascii="Times New Roman" w:eastAsia="Calibri" w:hAnsi="Times New Roman" w:cs="Times New Roman"/>
          <w:sz w:val="24"/>
          <w:szCs w:val="24"/>
        </w:rPr>
        <w:t>(5)</w:t>
      </w:r>
      <w:r w:rsidRPr="00EE4FA1">
        <w:rPr>
          <w:rFonts w:ascii="Times New Roman" w:eastAsia="Calibri" w:hAnsi="Times New Roman" w:cs="Times New Roman"/>
          <w:sz w:val="24"/>
          <w:szCs w:val="24"/>
        </w:rPr>
        <w:t xml:space="preserve"> одређивање сигурности и компатибилности са потенцијалним примаоцем, нпр. одређивање крвне групе АБО система,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ab/>
      </w:r>
      <w:r>
        <w:rPr>
          <w:rFonts w:ascii="Times New Roman" w:eastAsia="Calibri" w:hAnsi="Times New Roman" w:cs="Times New Roman"/>
          <w:sz w:val="24"/>
          <w:szCs w:val="24"/>
        </w:rPr>
        <w:t>(6)</w:t>
      </w:r>
      <w:r w:rsidRPr="00EE4FA1">
        <w:rPr>
          <w:rFonts w:ascii="Times New Roman" w:eastAsia="Calibri" w:hAnsi="Times New Roman" w:cs="Times New Roman"/>
          <w:sz w:val="24"/>
          <w:szCs w:val="24"/>
        </w:rPr>
        <w:t xml:space="preserve"> предвиђање одговора или реакција на лечење,</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ab/>
      </w:r>
      <w:r>
        <w:rPr>
          <w:rFonts w:ascii="Times New Roman" w:eastAsia="Calibri" w:hAnsi="Times New Roman" w:cs="Times New Roman"/>
          <w:sz w:val="24"/>
          <w:szCs w:val="24"/>
        </w:rPr>
        <w:t>(7)</w:t>
      </w:r>
      <w:r w:rsidRPr="00EE4FA1">
        <w:rPr>
          <w:rFonts w:ascii="Times New Roman" w:eastAsia="Calibri" w:hAnsi="Times New Roman" w:cs="Times New Roman"/>
          <w:sz w:val="24"/>
          <w:szCs w:val="24"/>
        </w:rPr>
        <w:t xml:space="preserve"> дефинисање или праћење терапијских мера, нпр. одређивање </w:t>
      </w:r>
      <w:proofErr w:type="spellStart"/>
      <w:r w:rsidRPr="00EE4FA1">
        <w:rPr>
          <w:rFonts w:ascii="Times New Roman" w:eastAsia="Calibri" w:hAnsi="Times New Roman" w:cs="Times New Roman"/>
          <w:sz w:val="24"/>
          <w:szCs w:val="24"/>
        </w:rPr>
        <w:t>дигитокина</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Тестови за </w:t>
      </w:r>
      <w:proofErr w:type="spellStart"/>
      <w:r w:rsidRPr="00EE4FA1">
        <w:rPr>
          <w:rFonts w:ascii="Times New Roman" w:eastAsia="Calibri" w:hAnsi="Times New Roman" w:cs="Times New Roman"/>
          <w:sz w:val="24"/>
          <w:szCs w:val="24"/>
        </w:rPr>
        <w:t>детекцију</w:t>
      </w:r>
      <w:proofErr w:type="spellEnd"/>
      <w:r w:rsidRPr="00EE4FA1">
        <w:rPr>
          <w:rFonts w:ascii="Times New Roman" w:eastAsia="Calibri" w:hAnsi="Times New Roman" w:cs="Times New Roman"/>
          <w:sz w:val="24"/>
          <w:szCs w:val="24"/>
        </w:rPr>
        <w:t xml:space="preserve"> злоупотребе дрога/алкохола намењени за примену </w:t>
      </w:r>
      <w:proofErr w:type="spellStart"/>
      <w:r w:rsidRPr="00EE4FA1">
        <w:rPr>
          <w:rFonts w:ascii="Times New Roman" w:eastAsia="Calibri" w:hAnsi="Times New Roman" w:cs="Times New Roman"/>
          <w:sz w:val="24"/>
          <w:szCs w:val="24"/>
        </w:rPr>
        <w:t>прекршајних</w:t>
      </w:r>
      <w:proofErr w:type="spellEnd"/>
      <w:r w:rsidRPr="00EE4FA1">
        <w:rPr>
          <w:rFonts w:ascii="Times New Roman" w:eastAsia="Calibri" w:hAnsi="Times New Roman" w:cs="Times New Roman"/>
          <w:sz w:val="24"/>
          <w:szCs w:val="24"/>
        </w:rPr>
        <w:t xml:space="preserve"> прописа нису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дијагностичка медицинска средства</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2</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може да обезбеди ове информације - самостално или у комбинацији са другим производом или медицинским средством</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3</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се користи за испитивање узорака  хуманог порекла и где се такви </w:t>
      </w:r>
      <w:proofErr w:type="spellStart"/>
      <w:r w:rsidRPr="00EE4FA1">
        <w:rPr>
          <w:rFonts w:ascii="Times New Roman" w:eastAsia="Calibri" w:hAnsi="Times New Roman" w:cs="Times New Roman"/>
          <w:sz w:val="24"/>
          <w:szCs w:val="24"/>
        </w:rPr>
        <w:t>узорци</w:t>
      </w:r>
      <w:proofErr w:type="spellEnd"/>
      <w:r w:rsidRPr="00EE4FA1">
        <w:rPr>
          <w:rFonts w:ascii="Times New Roman" w:eastAsia="Calibri" w:hAnsi="Times New Roman" w:cs="Times New Roman"/>
          <w:sz w:val="24"/>
          <w:szCs w:val="24"/>
        </w:rPr>
        <w:t xml:space="preserve"> никада не враћају у тело.</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Напомена: ако никакви </w:t>
      </w:r>
      <w:proofErr w:type="spellStart"/>
      <w:r w:rsidRPr="00EE4FA1">
        <w:rPr>
          <w:rFonts w:ascii="Times New Roman" w:eastAsia="Calibri" w:hAnsi="Times New Roman" w:cs="Times New Roman"/>
          <w:sz w:val="24"/>
          <w:szCs w:val="24"/>
        </w:rPr>
        <w:t>узорци</w:t>
      </w:r>
      <w:proofErr w:type="spellEnd"/>
      <w:r w:rsidRPr="00EE4FA1">
        <w:rPr>
          <w:rFonts w:ascii="Times New Roman" w:eastAsia="Calibri" w:hAnsi="Times New Roman" w:cs="Times New Roman"/>
          <w:sz w:val="24"/>
          <w:szCs w:val="24"/>
        </w:rPr>
        <w:t xml:space="preserve"> нису укључени или се испитивање дешава у или на људском телу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vivo</w:t>
      </w:r>
      <w:proofErr w:type="spellEnd"/>
      <w:r w:rsidRPr="00EE4FA1">
        <w:rPr>
          <w:rFonts w:ascii="Times New Roman" w:eastAsia="Calibri" w:hAnsi="Times New Roman" w:cs="Times New Roman"/>
          <w:sz w:val="24"/>
          <w:szCs w:val="24"/>
        </w:rPr>
        <w:t xml:space="preserve">), медицинска средства намењена да се користе за ово испитивање нису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(видети </w:t>
      </w:r>
      <w:proofErr w:type="spellStart"/>
      <w:r>
        <w:rPr>
          <w:rFonts w:ascii="Times New Roman" w:eastAsia="Calibri" w:hAnsi="Times New Roman" w:cs="Times New Roman"/>
          <w:sz w:val="24"/>
          <w:szCs w:val="24"/>
        </w:rPr>
        <w:t>подтач</w:t>
      </w:r>
      <w:proofErr w:type="spellEnd"/>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2.3. и 2.4.</w:t>
      </w:r>
      <w:r>
        <w:rPr>
          <w:rFonts w:ascii="Times New Roman" w:eastAsia="Calibri" w:hAnsi="Times New Roman" w:cs="Times New Roman"/>
          <w:sz w:val="24"/>
          <w:szCs w:val="24"/>
        </w:rPr>
        <w:t xml:space="preserve"> овог дела</w:t>
      </w:r>
      <w:r w:rsidRPr="00EE4FA1">
        <w:rPr>
          <w:rFonts w:ascii="Times New Roman" w:eastAsia="Calibri" w:hAnsi="Times New Roman" w:cs="Times New Roman"/>
          <w:sz w:val="24"/>
          <w:szCs w:val="24"/>
        </w:rPr>
        <w:t>)</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lastRenderedPageBreak/>
        <w:t>Пр</w:t>
      </w:r>
      <w:bookmarkStart w:id="0" w:name="_GoBack"/>
      <w:bookmarkEnd w:id="0"/>
      <w:r w:rsidRPr="00EE4FA1">
        <w:rPr>
          <w:rFonts w:ascii="Times New Roman" w:eastAsia="Calibri" w:hAnsi="Times New Roman" w:cs="Times New Roman"/>
          <w:sz w:val="24"/>
          <w:szCs w:val="24"/>
        </w:rPr>
        <w:t>имери:</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пулсни</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оксиметар</w:t>
      </w:r>
      <w:proofErr w:type="spellEnd"/>
      <w:r w:rsidRPr="00EE4FA1">
        <w:rPr>
          <w:rFonts w:ascii="Times New Roman" w:eastAsia="Calibri" w:hAnsi="Times New Roman" w:cs="Times New Roman"/>
          <w:sz w:val="24"/>
          <w:szCs w:val="24"/>
        </w:rPr>
        <w:t xml:space="preserve"> који емитује светлост кроз врх прста и апсорбује инфрацрвено светло, за мерење односа </w:t>
      </w:r>
      <w:proofErr w:type="spellStart"/>
      <w:r w:rsidRPr="00EE4FA1">
        <w:rPr>
          <w:rFonts w:ascii="Times New Roman" w:eastAsia="Calibri" w:hAnsi="Times New Roman" w:cs="Times New Roman"/>
          <w:sz w:val="24"/>
          <w:szCs w:val="24"/>
        </w:rPr>
        <w:t>окси</w:t>
      </w:r>
      <w:proofErr w:type="spellEnd"/>
      <w:r w:rsidRPr="00EE4FA1">
        <w:rPr>
          <w:rFonts w:ascii="Times New Roman" w:eastAsia="Calibri" w:hAnsi="Times New Roman" w:cs="Times New Roman"/>
          <w:sz w:val="24"/>
          <w:szCs w:val="24"/>
        </w:rPr>
        <w:t>/</w:t>
      </w:r>
      <w:proofErr w:type="spellStart"/>
      <w:r w:rsidRPr="00EE4FA1">
        <w:rPr>
          <w:rFonts w:ascii="Times New Roman" w:eastAsia="Calibri" w:hAnsi="Times New Roman" w:cs="Times New Roman"/>
          <w:sz w:val="24"/>
          <w:szCs w:val="24"/>
        </w:rPr>
        <w:t>деоксихемоглобина</w:t>
      </w:r>
      <w:proofErr w:type="spellEnd"/>
      <w:r w:rsidRPr="00EE4FA1">
        <w:rPr>
          <w:rFonts w:ascii="Times New Roman" w:eastAsia="Calibri" w:hAnsi="Times New Roman" w:cs="Times New Roman"/>
          <w:sz w:val="24"/>
          <w:szCs w:val="24"/>
        </w:rPr>
        <w:t xml:space="preserve"> није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EE4FA1">
        <w:rPr>
          <w:rFonts w:ascii="Times New Roman" w:eastAsia="Calibri" w:hAnsi="Times New Roman" w:cs="Times New Roman"/>
          <w:sz w:val="24"/>
          <w:szCs w:val="24"/>
        </w:rPr>
        <w:t xml:space="preserve"> систем за континуирану контролу глукозе у крви где се аналитичка функција спроводи истовремено са континуираним сакупљањем узорка није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E4FA1">
        <w:rPr>
          <w:rFonts w:ascii="Calibri" w:eastAsia="Calibri" w:hAnsi="Calibri" w:cs="Times New Roman"/>
        </w:rPr>
        <w:t xml:space="preserve">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се користи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за испитивање узорака из људске крви.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Напомена: медицинско средство за </w:t>
      </w:r>
      <w:proofErr w:type="spellStart"/>
      <w:r w:rsidRPr="00EE4FA1">
        <w:rPr>
          <w:rFonts w:ascii="Times New Roman" w:eastAsia="Calibri" w:hAnsi="Times New Roman" w:cs="Times New Roman"/>
          <w:sz w:val="24"/>
          <w:szCs w:val="24"/>
        </w:rPr>
        <w:t>детекцију</w:t>
      </w:r>
      <w:proofErr w:type="spellEnd"/>
      <w:r w:rsidRPr="00EE4FA1">
        <w:rPr>
          <w:rFonts w:ascii="Times New Roman" w:eastAsia="Calibri" w:hAnsi="Times New Roman" w:cs="Times New Roman"/>
          <w:sz w:val="24"/>
          <w:szCs w:val="24"/>
        </w:rPr>
        <w:t xml:space="preserve"> нпр. патолошких агенаса у окружењу није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Из дефиниције произлази да, како би био</w:t>
      </w:r>
      <w:r w:rsidRPr="00EE4FA1">
        <w:rPr>
          <w:rFonts w:ascii="Times New Roman" w:eastAsia="Calibri" w:hAnsi="Times New Roman" w:cs="Times New Roman"/>
          <w:sz w:val="24"/>
          <w:szCs w:val="24"/>
        </w:rPr>
        <w:t xml:space="preserve"> квалификован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производ мора да </w:t>
      </w:r>
      <w:r>
        <w:rPr>
          <w:rFonts w:ascii="Times New Roman" w:eastAsia="Calibri" w:hAnsi="Times New Roman" w:cs="Times New Roman"/>
          <w:sz w:val="24"/>
          <w:szCs w:val="24"/>
        </w:rPr>
        <w:t>одговара</w:t>
      </w:r>
      <w:r w:rsidRPr="00EE4FA1">
        <w:rPr>
          <w:rFonts w:ascii="Times New Roman" w:eastAsia="Calibri" w:hAnsi="Times New Roman" w:cs="Times New Roman"/>
          <w:sz w:val="24"/>
          <w:szCs w:val="24"/>
        </w:rPr>
        <w:t xml:space="preserve"> дефинициј</w:t>
      </w:r>
      <w:r>
        <w:rPr>
          <w:rFonts w:ascii="Times New Roman" w:eastAsia="Calibri" w:hAnsi="Times New Roman" w:cs="Times New Roman"/>
          <w:sz w:val="24"/>
          <w:szCs w:val="24"/>
        </w:rPr>
        <w:t>и</w:t>
      </w:r>
      <w:r w:rsidRPr="00EE4FA1">
        <w:rPr>
          <w:rFonts w:ascii="Times New Roman" w:eastAsia="Calibri" w:hAnsi="Times New Roman" w:cs="Times New Roman"/>
          <w:sz w:val="24"/>
          <w:szCs w:val="24"/>
        </w:rPr>
        <w:t xml:space="preserve"> медицинског средства и да буде намењен од произвођача за употребу у медицинске сврхе.</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У складу са чланом 2. тачка 22) Закона, намена је употреба за коју је медицинско средство намењено у складу са подацима које је произвођач навео приликом обележавања, у упутству за употребу, односно у промотивном материјалу.  </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EE4FA1">
        <w:rPr>
          <w:rFonts w:ascii="Times New Roman" w:eastAsia="Calibri" w:hAnsi="Times New Roman" w:cs="Times New Roman"/>
          <w:sz w:val="24"/>
          <w:szCs w:val="24"/>
        </w:rPr>
        <w:t>остоје случајеви када постоје ,,</w:t>
      </w:r>
      <w:proofErr w:type="spellStart"/>
      <w:r w:rsidRPr="00EE4FA1">
        <w:rPr>
          <w:rFonts w:ascii="Times New Roman" w:eastAsia="Calibri" w:hAnsi="Times New Roman" w:cs="Times New Roman"/>
          <w:sz w:val="24"/>
          <w:szCs w:val="24"/>
        </w:rPr>
        <w:t>тврдњеˮ</w:t>
      </w:r>
      <w:proofErr w:type="spellEnd"/>
      <w:r w:rsidRPr="00EE4FA1">
        <w:rPr>
          <w:rFonts w:ascii="Times New Roman" w:eastAsia="Calibri" w:hAnsi="Times New Roman" w:cs="Times New Roman"/>
          <w:sz w:val="24"/>
          <w:szCs w:val="24"/>
        </w:rPr>
        <w:t xml:space="preserve"> медицинске природе за одређене производе </w:t>
      </w:r>
      <w:r>
        <w:rPr>
          <w:rFonts w:ascii="Times New Roman" w:eastAsia="Calibri" w:hAnsi="Times New Roman" w:cs="Times New Roman"/>
          <w:sz w:val="24"/>
          <w:szCs w:val="24"/>
        </w:rPr>
        <w:t>које</w:t>
      </w:r>
      <w:r w:rsidRPr="00EE4FA1">
        <w:rPr>
          <w:rFonts w:ascii="Times New Roman" w:eastAsia="Calibri" w:hAnsi="Times New Roman" w:cs="Times New Roman"/>
          <w:sz w:val="24"/>
          <w:szCs w:val="24"/>
        </w:rPr>
        <w:t xml:space="preserve"> не могу да буду поткрепљене техничким, клиничким или научним подацима. Ако нема довољно техничких, клиничких или научних података да подрже те тврдње, производ не испуњава захтеве прописа којима се уређују медицинска средства и не може бити обележен знаком усаглашености као медицинско средство или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Производ се не може подвести под прописе којима се уређују</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простим навођењем речи: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дијагностичку </w:t>
      </w:r>
      <w:proofErr w:type="spellStart"/>
      <w:r w:rsidRPr="00EE4FA1">
        <w:rPr>
          <w:rFonts w:ascii="Times New Roman" w:eastAsia="Calibri" w:hAnsi="Times New Roman" w:cs="Times New Roman"/>
          <w:sz w:val="24"/>
          <w:szCs w:val="24"/>
        </w:rPr>
        <w:t>употребуˮ</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Са друге стране, производ може да има више намена. Ако је једна од тих намена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испитивање узорака хуманог порекла и ако се медицинска сврха може установити на бази довољних и широко прихваћених научних, дијагностичких и клиничких доказа, производ мора да буде усаглашен са захтевима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пре него што га произвођач стави на тржиште.</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ко производ има медицинску намену</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не може да се стави на тржиште као</w:t>
      </w:r>
      <w:r>
        <w:rPr>
          <w:rFonts w:ascii="Times New Roman" w:eastAsia="Calibri" w:hAnsi="Times New Roman" w:cs="Times New Roman"/>
          <w:sz w:val="24"/>
          <w:szCs w:val="24"/>
        </w:rPr>
        <w:t xml:space="preserve"> производ</w:t>
      </w:r>
      <w:r w:rsidRPr="00EE4FA1">
        <w:rPr>
          <w:rFonts w:ascii="Times New Roman" w:eastAsia="Calibri" w:hAnsi="Times New Roman" w:cs="Times New Roman"/>
          <w:sz w:val="24"/>
          <w:szCs w:val="24"/>
        </w:rPr>
        <w:t xml:space="preserve"> ,,Само за </w:t>
      </w:r>
      <w:proofErr w:type="spellStart"/>
      <w:r w:rsidRPr="00EE4FA1">
        <w:rPr>
          <w:rFonts w:ascii="Times New Roman" w:eastAsia="Calibri" w:hAnsi="Times New Roman" w:cs="Times New Roman"/>
          <w:sz w:val="24"/>
          <w:szCs w:val="24"/>
        </w:rPr>
        <w:t>истраживањеˮ</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Research</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use</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onlyˮ</w:t>
      </w:r>
      <w:proofErr w:type="spellEnd"/>
      <w:r w:rsidRPr="00EE4FA1">
        <w:rPr>
          <w:rFonts w:ascii="Times New Roman" w:eastAsia="Calibri" w:hAnsi="Times New Roman" w:cs="Times New Roman"/>
          <w:sz w:val="24"/>
          <w:szCs w:val="24"/>
        </w:rPr>
        <w:t xml:space="preserve">, RUO). </w:t>
      </w:r>
    </w:p>
    <w:p w:rsidR="00F84952" w:rsidRPr="00EE4FA1" w:rsidRDefault="00F84952" w:rsidP="00F84952">
      <w:pPr>
        <w:pStyle w:val="NoSpacing"/>
      </w:pPr>
      <w:r w:rsidRPr="00EE4FA1">
        <w:t xml:space="preserve">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1.2. Прибор</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Чланом 2. тачка 2) Закона дефинише се помоћно средство за медицинско средство (прибор) као производ који није медицинско средство, а који је произвођач изричито </w:t>
      </w:r>
      <w:r w:rsidRPr="00EE4FA1">
        <w:rPr>
          <w:rFonts w:ascii="Times New Roman" w:eastAsia="Calibri" w:hAnsi="Times New Roman" w:cs="Times New Roman"/>
          <w:sz w:val="24"/>
          <w:szCs w:val="24"/>
        </w:rPr>
        <w:lastRenderedPageBreak/>
        <w:t>наменио да се користи у комбинацији с медицинским средством како би се омогућила употреба тог медицинског средства у складу са његовом наменом одређеном од произвођача.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У складу са чланом 1. став 2. Закона, одредбе </w:t>
      </w:r>
      <w:r>
        <w:rPr>
          <w:rFonts w:ascii="Times New Roman" w:eastAsia="Calibri" w:hAnsi="Times New Roman" w:cs="Times New Roman"/>
          <w:sz w:val="24"/>
          <w:szCs w:val="24"/>
        </w:rPr>
        <w:t>т</w:t>
      </w:r>
      <w:r w:rsidRPr="00EE4FA1">
        <w:rPr>
          <w:rFonts w:ascii="Times New Roman" w:eastAsia="Calibri" w:hAnsi="Times New Roman" w:cs="Times New Roman"/>
          <w:sz w:val="24"/>
          <w:szCs w:val="24"/>
        </w:rPr>
        <w:t>ог закона примењују се на медицинска средства за хуману употребу (у даљем тексту: медицинска средства), укључујући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и активна </w:t>
      </w:r>
      <w:proofErr w:type="spellStart"/>
      <w:r w:rsidRPr="00EE4FA1">
        <w:rPr>
          <w:rFonts w:ascii="Times New Roman" w:eastAsia="Calibri" w:hAnsi="Times New Roman" w:cs="Times New Roman"/>
          <w:sz w:val="24"/>
          <w:szCs w:val="24"/>
        </w:rPr>
        <w:t>имплантабилна</w:t>
      </w:r>
      <w:proofErr w:type="spellEnd"/>
      <w:r w:rsidRPr="00EE4FA1">
        <w:rPr>
          <w:rFonts w:ascii="Times New Roman" w:eastAsia="Calibri" w:hAnsi="Times New Roman" w:cs="Times New Roman"/>
          <w:sz w:val="24"/>
          <w:szCs w:val="24"/>
        </w:rPr>
        <w:t xml:space="preserve"> медицинска средства.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У складу са чланом 1. став 4. Закона, одредбе овог закона примењују се и на помоћна средства за медицинска средства (прибор).</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Сходно томе прибор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сматра се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Пример: раствор за чишћење специфично намењен од произвођача да се користи са дефинисаним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i/>
          <w:sz w:val="24"/>
          <w:szCs w:val="24"/>
        </w:rPr>
        <w:t xml:space="preserve"> </w:t>
      </w:r>
      <w:r w:rsidRPr="00EE4FA1">
        <w:rPr>
          <w:rFonts w:ascii="Times New Roman" w:eastAsia="Calibri" w:hAnsi="Times New Roman" w:cs="Times New Roman"/>
          <w:sz w:val="24"/>
          <w:szCs w:val="24"/>
        </w:rPr>
        <w:t>дијагностичким аутоматизованим инструментом.</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1.3. Посуде за узорке и производи за сакупљање узорака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1.3.1. Посуде за узорке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У складу са чланом 2. тачка 3) став 2. Закона, посуде за узорке сматрају се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Посуде за узорке су медицинска средства </w:t>
      </w:r>
      <w:proofErr w:type="spellStart"/>
      <w:r w:rsidRPr="00EE4FA1">
        <w:rPr>
          <w:rFonts w:ascii="Times New Roman" w:eastAsia="Calibri" w:hAnsi="Times New Roman" w:cs="Times New Roman"/>
          <w:sz w:val="24"/>
          <w:szCs w:val="24"/>
        </w:rPr>
        <w:t>вакуумског</w:t>
      </w:r>
      <w:proofErr w:type="spellEnd"/>
      <w:r w:rsidRPr="00EE4FA1">
        <w:rPr>
          <w:rFonts w:ascii="Times New Roman" w:eastAsia="Calibri" w:hAnsi="Times New Roman" w:cs="Times New Roman"/>
          <w:sz w:val="24"/>
          <w:szCs w:val="24"/>
        </w:rPr>
        <w:t xml:space="preserve"> или </w:t>
      </w:r>
      <w:proofErr w:type="spellStart"/>
      <w:r w:rsidRPr="00EE4FA1">
        <w:rPr>
          <w:rFonts w:ascii="Times New Roman" w:eastAsia="Calibri" w:hAnsi="Times New Roman" w:cs="Times New Roman"/>
          <w:sz w:val="24"/>
          <w:szCs w:val="24"/>
        </w:rPr>
        <w:t>невакуумског</w:t>
      </w:r>
      <w:proofErr w:type="spellEnd"/>
      <w:r w:rsidRPr="00EE4FA1">
        <w:rPr>
          <w:rFonts w:ascii="Times New Roman" w:eastAsia="Calibri" w:hAnsi="Times New Roman" w:cs="Times New Roman"/>
          <w:sz w:val="24"/>
          <w:szCs w:val="24"/>
        </w:rPr>
        <w:t xml:space="preserve"> типа која је произвођач изричито наменио за примарно држање и чување узорака добијених од људског тела у сврху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испитивања.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Напомене: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(a) реч ,,примарно” не односи се увек на иницијални или први контејнер узорка у одређеном временском тренутку, већ пре на контејнер који је намењен од произвођача да углавном долази у директан контакт са узорком и који би могао да утиче на узорак,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(б) реч ,,чување” не значи да посуда мора да садржи </w:t>
      </w:r>
      <w:proofErr w:type="spellStart"/>
      <w:r w:rsidRPr="00EE4FA1">
        <w:rPr>
          <w:rFonts w:ascii="Times New Roman" w:eastAsia="Calibri" w:hAnsi="Times New Roman" w:cs="Times New Roman"/>
          <w:sz w:val="24"/>
          <w:szCs w:val="24"/>
        </w:rPr>
        <w:t>конзерванс</w:t>
      </w:r>
      <w:proofErr w:type="spellEnd"/>
      <w:r w:rsidRPr="00EE4FA1">
        <w:rPr>
          <w:rFonts w:ascii="Times New Roman" w:eastAsia="Calibri" w:hAnsi="Times New Roman" w:cs="Times New Roman"/>
          <w:sz w:val="24"/>
          <w:szCs w:val="24"/>
        </w:rPr>
        <w:t xml:space="preserve"> за узорак, већ да је посуда намењена да заштити узорак нпр. од промена температуре, светлости, физичког ломљења итд.</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Ова специфична предвиђена намена јасно се наводи на обележавању и свакој придруженој помоћној литератури производа. Произвођач такође мора да поседује доказ и техничку документацију којима подржава овакву употребу производа.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Могуће је да је у сакупљање, транспорт и чување индивидуалног узорка укључено више од једне посуде за узорке. У таквим случајевима произвођач сваке посуде мора да докаже усаглашеност са прописима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Друге стаклене или пластичне тубе/епрувете, чаше, </w:t>
      </w:r>
      <w:proofErr w:type="spellStart"/>
      <w:r w:rsidRPr="00EE4FA1">
        <w:rPr>
          <w:rFonts w:ascii="Times New Roman" w:eastAsia="Calibri" w:hAnsi="Times New Roman" w:cs="Times New Roman"/>
          <w:sz w:val="24"/>
          <w:szCs w:val="24"/>
        </w:rPr>
        <w:t>кивете</w:t>
      </w:r>
      <w:proofErr w:type="spellEnd"/>
      <w:r w:rsidRPr="00EE4FA1">
        <w:rPr>
          <w:rFonts w:ascii="Times New Roman" w:eastAsia="Calibri" w:hAnsi="Times New Roman" w:cs="Times New Roman"/>
          <w:sz w:val="24"/>
          <w:szCs w:val="24"/>
        </w:rPr>
        <w:t xml:space="preserve"> или друге посуде у које се узорак ставља током аналитичког процеса (</w:t>
      </w:r>
      <w:proofErr w:type="spellStart"/>
      <w:r w:rsidRPr="00EE4FA1">
        <w:rPr>
          <w:rFonts w:ascii="Times New Roman" w:eastAsia="Calibri" w:hAnsi="Times New Roman" w:cs="Times New Roman"/>
          <w:sz w:val="24"/>
          <w:szCs w:val="24"/>
        </w:rPr>
        <w:t>аликвотирањем</w:t>
      </w:r>
      <w:proofErr w:type="spellEnd"/>
      <w:r w:rsidRPr="00EE4FA1">
        <w:rPr>
          <w:rFonts w:ascii="Times New Roman" w:eastAsia="Calibri" w:hAnsi="Times New Roman" w:cs="Times New Roman"/>
          <w:sz w:val="24"/>
          <w:szCs w:val="24"/>
        </w:rPr>
        <w:t xml:space="preserve"> или другачије) не сматрају се </w:t>
      </w:r>
      <w:r w:rsidRPr="00EE4FA1">
        <w:rPr>
          <w:rFonts w:ascii="Times New Roman" w:eastAsia="Calibri" w:hAnsi="Times New Roman" w:cs="Times New Roman"/>
          <w:sz w:val="24"/>
          <w:szCs w:val="24"/>
        </w:rPr>
        <w:lastRenderedPageBreak/>
        <w:t xml:space="preserve">посудама за узорке у смислу прописа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Сматрају се производима за општу лабораторијску употребу.</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Примери:</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EE4FA1">
        <w:rPr>
          <w:rFonts w:ascii="Times New Roman" w:eastAsia="Calibri" w:hAnsi="Times New Roman" w:cs="Times New Roman"/>
          <w:sz w:val="24"/>
          <w:szCs w:val="24"/>
        </w:rPr>
        <w:t xml:space="preserve"> епрувета за сакупљање криви, посуда за узорак урина сматрају се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Са посудама за узорке које имају </w:t>
      </w:r>
      <w:proofErr w:type="spellStart"/>
      <w:r w:rsidRPr="00EE4FA1">
        <w:rPr>
          <w:rFonts w:ascii="Times New Roman" w:eastAsia="Calibri" w:hAnsi="Times New Roman" w:cs="Times New Roman"/>
          <w:sz w:val="24"/>
          <w:szCs w:val="24"/>
        </w:rPr>
        <w:t>инвазиван</w:t>
      </w:r>
      <w:proofErr w:type="spellEnd"/>
      <w:r w:rsidRPr="00EE4FA1">
        <w:rPr>
          <w:rFonts w:ascii="Times New Roman" w:eastAsia="Calibri" w:hAnsi="Times New Roman" w:cs="Times New Roman"/>
          <w:sz w:val="24"/>
          <w:szCs w:val="24"/>
        </w:rPr>
        <w:t xml:space="preserve"> контакт са телом рукује се како је описано у тачки </w:t>
      </w:r>
      <w:proofErr w:type="spellStart"/>
      <w:r w:rsidRPr="00EE4FA1">
        <w:rPr>
          <w:rFonts w:ascii="Times New Roman" w:eastAsia="Calibri" w:hAnsi="Times New Roman" w:cs="Times New Roman"/>
          <w:sz w:val="24"/>
          <w:szCs w:val="24"/>
        </w:rPr>
        <w:t>1.3.2.б</w:t>
      </w:r>
      <w:proofErr w:type="spellEnd"/>
      <w:r w:rsidRPr="00EE4FA1">
        <w:rPr>
          <w:rFonts w:ascii="Times New Roman" w:eastAsia="Calibri" w:hAnsi="Times New Roman" w:cs="Times New Roman"/>
          <w:sz w:val="24"/>
          <w:szCs w:val="24"/>
        </w:rPr>
        <w:t xml:space="preserve">.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1.3.2. Производи за прибављање узорака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a) Без предвиђене намене за директан контакт са људским телом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Производи намењени за трансфер узорака, али који нису специфично намењени од произвођача за примарно држање и чување узорака добијених из људског тела у сврху</w:t>
      </w:r>
      <w:r w:rsidRPr="00EE4FA1">
        <w:rPr>
          <w:rFonts w:ascii="Calibri" w:eastAsia="Calibri" w:hAnsi="Calibri" w:cs="Times New Roman"/>
        </w:rPr>
        <w:t xml:space="preserve">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i/>
          <w:sz w:val="24"/>
          <w:szCs w:val="24"/>
        </w:rPr>
        <w:t xml:space="preserve"> </w:t>
      </w:r>
      <w:r w:rsidRPr="00EE4FA1">
        <w:rPr>
          <w:rFonts w:ascii="Times New Roman" w:eastAsia="Calibri" w:hAnsi="Times New Roman" w:cs="Times New Roman"/>
          <w:sz w:val="24"/>
          <w:szCs w:val="24"/>
        </w:rPr>
        <w:t xml:space="preserve">дијагностичког испитивања, уобичајено се не сматрају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(нпр. пластичне пипете за трансфер капи крви са прста до брзог теста)</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б) Са предвиђеном наменом за директан контакт са људским телом </w:t>
      </w:r>
    </w:p>
    <w:p w:rsidR="00F84952" w:rsidRPr="00EE4FA1" w:rsidRDefault="00F84952" w:rsidP="00F84952">
      <w:pPr>
        <w:jc w:val="both"/>
        <w:rPr>
          <w:rFonts w:ascii="Times New Roman" w:eastAsia="Calibri" w:hAnsi="Times New Roman" w:cs="Times New Roman"/>
          <w:sz w:val="24"/>
          <w:szCs w:val="24"/>
        </w:rPr>
      </w:pPr>
      <w:proofErr w:type="spellStart"/>
      <w:r w:rsidRPr="00EE4FA1">
        <w:rPr>
          <w:rFonts w:ascii="Times New Roman" w:eastAsia="Calibri" w:hAnsi="Times New Roman" w:cs="Times New Roman"/>
          <w:sz w:val="24"/>
          <w:szCs w:val="24"/>
        </w:rPr>
        <w:t>Инвазивна</w:t>
      </w:r>
      <w:proofErr w:type="spellEnd"/>
      <w:r w:rsidRPr="00EE4FA1">
        <w:rPr>
          <w:rFonts w:ascii="Times New Roman" w:eastAsia="Calibri" w:hAnsi="Times New Roman" w:cs="Times New Roman"/>
          <w:sz w:val="24"/>
          <w:szCs w:val="24"/>
        </w:rPr>
        <w:t xml:space="preserve"> медицинска средства за узорке или она која се директно примењују на људско тело у сврху прибављања узорака у смислу прописа којима се уређују медицинска средства не сматрају се прибором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(нпр, игле, ланцете, </w:t>
      </w:r>
      <w:proofErr w:type="spellStart"/>
      <w:r w:rsidRPr="00EE4FA1">
        <w:rPr>
          <w:rFonts w:ascii="Times New Roman" w:eastAsia="Calibri" w:hAnsi="Times New Roman" w:cs="Times New Roman"/>
          <w:sz w:val="24"/>
          <w:szCs w:val="24"/>
        </w:rPr>
        <w:t>ланцетари</w:t>
      </w:r>
      <w:proofErr w:type="spellEnd"/>
      <w:r w:rsidRPr="00EE4FA1">
        <w:rPr>
          <w:rFonts w:ascii="Times New Roman" w:eastAsia="Calibri" w:hAnsi="Times New Roman" w:cs="Times New Roman"/>
          <w:sz w:val="24"/>
          <w:szCs w:val="24"/>
        </w:rPr>
        <w:t xml:space="preserve">, тубе за уста, тампони, кесе за сакупљање мокраће за бебе). Ови производи сматрају се општим медицинским средствима у складу са Законом. </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1.4. Производи за општу лабораторијску употребу</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Члан 2. тачка 3) став 3. Закона </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Производи за општу лабораторијску употребу не сматрају се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осим ако је те производе, због својих карактеристика, произвођач изричито наменио за употребу 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испитивањима.”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Квалификација коју даје Закон је да, на бази карактеристика производа произвођач специфично намени да се производ употребљава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испитивање. У том случају, производ постаје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и мора да буде усаглашен са примењивим прописаним основним захтевима у складу са Законом и обележен знаком усаглашености.</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Ако, ипак, производ не поседује специфичне карактеристике које га чине одговарајућим за један или више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дијагностичких поступака испитивања, онда произвођачу није дозвољено да производ квалификује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Произвођачу није дозвољено да стави знак усаглашености на део опште лабораторијске опреме као тржишну тврдњу. Само додавање изјаве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дијагностичку </w:t>
      </w:r>
      <w:proofErr w:type="spellStart"/>
      <w:r w:rsidRPr="00EE4FA1">
        <w:rPr>
          <w:rFonts w:ascii="Times New Roman" w:eastAsia="Calibri" w:hAnsi="Times New Roman" w:cs="Times New Roman"/>
          <w:sz w:val="24"/>
          <w:szCs w:val="24"/>
        </w:rPr>
        <w:t>употребуˮ</w:t>
      </w:r>
      <w:proofErr w:type="spellEnd"/>
      <w:r w:rsidRPr="00EE4FA1">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lastRenderedPageBreak/>
        <w:t xml:space="preserve">уз производ није довољно за квалификацију производа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медицинског средства.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Производ употребљен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у припреми узорака који су прибављени за испитивање не сматрају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нити прибором и на њих се Закон не примењује осим ако су, на основу својих карактеристика, специфично намењени за одређено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испитивање. </w:t>
      </w:r>
      <w:proofErr w:type="spellStart"/>
      <w:r w:rsidRPr="00EE4FA1">
        <w:rPr>
          <w:rFonts w:ascii="Times New Roman" w:eastAsia="Calibri" w:hAnsi="Times New Roman" w:cs="Times New Roman"/>
          <w:sz w:val="24"/>
          <w:szCs w:val="24"/>
        </w:rPr>
        <w:t>Валидација</w:t>
      </w:r>
      <w:proofErr w:type="spellEnd"/>
      <w:r w:rsidRPr="00EE4FA1">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w:t>
      </w:r>
      <w:r w:rsidRPr="00EE4FA1">
        <w:rPr>
          <w:rFonts w:ascii="Times New Roman" w:eastAsia="Calibri" w:hAnsi="Times New Roman" w:cs="Times New Roman"/>
          <w:sz w:val="24"/>
          <w:szCs w:val="24"/>
        </w:rPr>
        <w:t xml:space="preserve"> специфичне комбинације јасно се документује у техничкој документацији.</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Примери производа за општу лабораторијску употребу и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дијагностичких медицинских средстава:</w:t>
      </w:r>
    </w:p>
    <w:tbl>
      <w:tblPr>
        <w:tblStyle w:val="TableGrid1"/>
        <w:tblW w:w="0" w:type="auto"/>
        <w:tblInd w:w="0" w:type="dxa"/>
        <w:tblLook w:val="04A0" w:firstRow="1" w:lastRow="0" w:firstColumn="1" w:lastColumn="0" w:noHBand="0" w:noVBand="1"/>
      </w:tblPr>
      <w:tblGrid>
        <w:gridCol w:w="3190"/>
        <w:gridCol w:w="3190"/>
        <w:gridCol w:w="3190"/>
      </w:tblGrid>
      <w:tr w:rsidR="00F84952" w:rsidRPr="00EE4FA1" w:rsidTr="00D3547E">
        <w:tc>
          <w:tcPr>
            <w:tcW w:w="3190" w:type="dxa"/>
            <w:tcBorders>
              <w:top w:val="single" w:sz="4" w:space="0" w:color="auto"/>
              <w:left w:val="single" w:sz="4" w:space="0" w:color="auto"/>
              <w:bottom w:val="single" w:sz="4" w:space="0" w:color="auto"/>
              <w:right w:val="single" w:sz="4" w:space="0" w:color="auto"/>
            </w:tcBorders>
          </w:tcPr>
          <w:p w:rsidR="00F84952" w:rsidRPr="00EE4FA1" w:rsidRDefault="00F84952" w:rsidP="00D3547E">
            <w:pPr>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Производи за лабораторијску употребу</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i/>
                <w:sz w:val="24"/>
                <w:szCs w:val="24"/>
              </w:rPr>
              <w:t xml:space="preserve">In </w:t>
            </w:r>
            <w:proofErr w:type="spellStart"/>
            <w:r w:rsidRPr="00EE4FA1">
              <w:rPr>
                <w:rFonts w:ascii="Times New Roman" w:hAnsi="Times New Roman"/>
                <w:b/>
                <w:i/>
                <w:sz w:val="24"/>
                <w:szCs w:val="24"/>
              </w:rPr>
              <w:t>vitro</w:t>
            </w:r>
            <w:proofErr w:type="spellEnd"/>
            <w:r w:rsidRPr="00EE4FA1">
              <w:rPr>
                <w:rFonts w:ascii="Times New Roman" w:hAnsi="Times New Roman"/>
                <w:b/>
                <w:sz w:val="24"/>
                <w:szCs w:val="24"/>
              </w:rPr>
              <w:t xml:space="preserve"> дијагностичка медицинска средства</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Центрифуге</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Опште центрифуге, </w:t>
            </w:r>
            <w:proofErr w:type="spellStart"/>
            <w:r w:rsidRPr="00EE4FA1">
              <w:rPr>
                <w:rFonts w:ascii="Times New Roman" w:hAnsi="Times New Roman"/>
                <w:sz w:val="24"/>
                <w:szCs w:val="24"/>
              </w:rPr>
              <w:t>цитоспин</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proofErr w:type="spellStart"/>
            <w:r w:rsidRPr="00EE4FA1">
              <w:rPr>
                <w:rFonts w:ascii="Times New Roman" w:hAnsi="Times New Roman"/>
                <w:sz w:val="24"/>
                <w:szCs w:val="24"/>
              </w:rPr>
              <w:t>Хематокритна</w:t>
            </w:r>
            <w:proofErr w:type="spellEnd"/>
            <w:r w:rsidRPr="00EE4FA1">
              <w:rPr>
                <w:rFonts w:ascii="Times New Roman" w:hAnsi="Times New Roman"/>
                <w:sz w:val="24"/>
                <w:szCs w:val="24"/>
              </w:rPr>
              <w:t xml:space="preserve"> центрифуга</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Пипете</w:t>
            </w:r>
          </w:p>
        </w:tc>
        <w:tc>
          <w:tcPr>
            <w:tcW w:w="3190" w:type="dxa"/>
            <w:tcBorders>
              <w:top w:val="single" w:sz="4" w:space="0" w:color="auto"/>
              <w:left w:val="single" w:sz="4" w:space="0" w:color="auto"/>
              <w:bottom w:val="single" w:sz="4" w:space="0" w:color="auto"/>
              <w:right w:val="single" w:sz="4" w:space="0" w:color="auto"/>
            </w:tcBorders>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Пипете за општу намену (нпр. појединачне или вишеструке пипете, пластичне пипете, </w:t>
            </w:r>
            <w:proofErr w:type="spellStart"/>
            <w:r w:rsidRPr="00EE4FA1">
              <w:rPr>
                <w:rFonts w:ascii="Times New Roman" w:hAnsi="Times New Roman"/>
                <w:sz w:val="24"/>
                <w:szCs w:val="24"/>
              </w:rPr>
              <w:t>Пастерове</w:t>
            </w:r>
            <w:proofErr w:type="spellEnd"/>
            <w:r w:rsidRPr="00EE4FA1">
              <w:rPr>
                <w:rFonts w:ascii="Times New Roman" w:hAnsi="Times New Roman"/>
                <w:sz w:val="24"/>
                <w:szCs w:val="24"/>
              </w:rPr>
              <w:t xml:space="preserve"> пипете)</w:t>
            </w:r>
          </w:p>
          <w:p w:rsidR="00F84952" w:rsidRPr="00EE4FA1" w:rsidRDefault="00F84952" w:rsidP="00D3547E">
            <w:pP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Пипете за коагулацију крви са аутоматским мерењем времена (додатак </w:t>
            </w:r>
            <w:proofErr w:type="spellStart"/>
            <w:r w:rsidRPr="00EE4FA1">
              <w:rPr>
                <w:rFonts w:ascii="Times New Roman" w:hAnsi="Times New Roman"/>
                <w:sz w:val="24"/>
                <w:szCs w:val="24"/>
              </w:rPr>
              <w:t>коагулометра</w:t>
            </w:r>
            <w:proofErr w:type="spellEnd"/>
            <w:r w:rsidRPr="00EE4FA1">
              <w:rPr>
                <w:rFonts w:ascii="Times New Roman" w:hAnsi="Times New Roman"/>
                <w:sz w:val="24"/>
                <w:szCs w:val="24"/>
              </w:rPr>
              <w:t>)</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 xml:space="preserve">Епрувете и </w:t>
            </w:r>
            <w:proofErr w:type="spellStart"/>
            <w:r w:rsidRPr="00EE4FA1">
              <w:rPr>
                <w:rFonts w:ascii="Times New Roman" w:hAnsi="Times New Roman"/>
                <w:b/>
                <w:sz w:val="24"/>
                <w:szCs w:val="24"/>
              </w:rPr>
              <w:t>бочице</w:t>
            </w:r>
            <w:proofErr w:type="spellEnd"/>
            <w:r w:rsidRPr="00EE4FA1">
              <w:rPr>
                <w:rFonts w:ascii="Times New Roman" w:hAnsi="Times New Roman"/>
                <w:b/>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proofErr w:type="spellStart"/>
            <w:r w:rsidRPr="00EE4FA1">
              <w:rPr>
                <w:rFonts w:ascii="Times New Roman" w:hAnsi="Times New Roman"/>
                <w:sz w:val="24"/>
                <w:szCs w:val="24"/>
              </w:rPr>
              <w:t>Ерленмајери</w:t>
            </w:r>
            <w:proofErr w:type="spellEnd"/>
            <w:r w:rsidRPr="00EE4FA1">
              <w:rPr>
                <w:rFonts w:ascii="Times New Roman" w:hAnsi="Times New Roman"/>
                <w:sz w:val="24"/>
                <w:szCs w:val="24"/>
              </w:rPr>
              <w:t>, пластичне епрувете</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spacing w:after="200" w:line="276" w:lineRule="auto"/>
              <w:rPr>
                <w:rFonts w:ascii="Times New Roman" w:hAnsi="Times New Roman"/>
                <w:sz w:val="24"/>
                <w:szCs w:val="24"/>
              </w:rPr>
            </w:pPr>
            <w:r w:rsidRPr="00EE4FA1">
              <w:rPr>
                <w:rFonts w:ascii="Times New Roman" w:hAnsi="Times New Roman"/>
                <w:sz w:val="24"/>
                <w:szCs w:val="24"/>
              </w:rPr>
              <w:t>Епрувете за сакупљање крви, контејнери за узорак урина</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Плочице</w:t>
            </w:r>
          </w:p>
          <w:p w:rsidR="00F84952" w:rsidRPr="00EE4FA1" w:rsidRDefault="00F84952" w:rsidP="00D3547E">
            <w:pPr>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Празне ЕЛИСА плочице, празне </w:t>
            </w:r>
            <w:proofErr w:type="spellStart"/>
            <w:r w:rsidRPr="00EE4FA1">
              <w:rPr>
                <w:rFonts w:ascii="Times New Roman" w:hAnsi="Times New Roman"/>
                <w:sz w:val="24"/>
                <w:szCs w:val="24"/>
              </w:rPr>
              <w:t>Петријеве</w:t>
            </w:r>
            <w:proofErr w:type="spellEnd"/>
            <w:r w:rsidRPr="00EE4FA1">
              <w:rPr>
                <w:rFonts w:ascii="Times New Roman" w:hAnsi="Times New Roman"/>
                <w:sz w:val="24"/>
                <w:szCs w:val="24"/>
              </w:rPr>
              <w:t xml:space="preserve"> посуде</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Обложене </w:t>
            </w:r>
            <w:proofErr w:type="spellStart"/>
            <w:r w:rsidRPr="00EE4FA1">
              <w:rPr>
                <w:rFonts w:ascii="Times New Roman" w:hAnsi="Times New Roman"/>
                <w:sz w:val="24"/>
                <w:szCs w:val="24"/>
              </w:rPr>
              <w:t>микротитарске</w:t>
            </w:r>
            <w:proofErr w:type="spellEnd"/>
            <w:r w:rsidRPr="00EE4FA1">
              <w:rPr>
                <w:rFonts w:ascii="Times New Roman" w:hAnsi="Times New Roman"/>
                <w:sz w:val="24"/>
                <w:szCs w:val="24"/>
              </w:rPr>
              <w:t xml:space="preserve"> плочице за дијагнозу </w:t>
            </w:r>
            <w:proofErr w:type="spellStart"/>
            <w:r w:rsidRPr="00EE4FA1">
              <w:rPr>
                <w:rFonts w:ascii="Times New Roman" w:hAnsi="Times New Roman"/>
                <w:sz w:val="24"/>
                <w:szCs w:val="24"/>
              </w:rPr>
              <w:t>Лајмске</w:t>
            </w:r>
            <w:proofErr w:type="spellEnd"/>
            <w:r w:rsidRPr="00EE4FA1">
              <w:rPr>
                <w:rFonts w:ascii="Times New Roman" w:hAnsi="Times New Roman"/>
                <w:sz w:val="24"/>
                <w:szCs w:val="24"/>
              </w:rPr>
              <w:t xml:space="preserve"> болести</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 xml:space="preserve">Производи за екстракцију </w:t>
            </w:r>
            <w:proofErr w:type="spellStart"/>
            <w:r w:rsidRPr="00EE4FA1">
              <w:rPr>
                <w:rFonts w:ascii="Times New Roman" w:hAnsi="Times New Roman"/>
                <w:b/>
                <w:sz w:val="24"/>
                <w:szCs w:val="24"/>
              </w:rPr>
              <w:t>нуклеинских</w:t>
            </w:r>
            <w:proofErr w:type="spellEnd"/>
            <w:r w:rsidRPr="00EE4FA1">
              <w:rPr>
                <w:rFonts w:ascii="Times New Roman" w:hAnsi="Times New Roman"/>
                <w:b/>
                <w:sz w:val="24"/>
                <w:szCs w:val="24"/>
              </w:rPr>
              <w:t xml:space="preserve"> киселина</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Кит за екстракцију ДНК и РНК који само обезбеђује узорак без предвиђене намене за комбинацију</w:t>
            </w:r>
            <w:r w:rsidRPr="00EE4FA1">
              <w:rPr>
                <w:rFonts w:ascii="Times New Roman" w:hAnsi="Times New Roman"/>
                <w:i/>
                <w:sz w:val="24"/>
                <w:szCs w:val="24"/>
              </w:rPr>
              <w:t xml:space="preserve"> </w:t>
            </w:r>
            <w:r w:rsidRPr="00EE4FA1">
              <w:rPr>
                <w:rFonts w:ascii="Times New Roman" w:hAnsi="Times New Roman"/>
                <w:sz w:val="24"/>
                <w:szCs w:val="24"/>
              </w:rPr>
              <w:t xml:space="preserve">са </w:t>
            </w:r>
            <w:r w:rsidRPr="00EE4FA1">
              <w:rPr>
                <w:rFonts w:ascii="Times New Roman" w:hAnsi="Times New Roman"/>
                <w:i/>
                <w:sz w:val="24"/>
                <w:szCs w:val="24"/>
              </w:rPr>
              <w:t xml:space="preserve">in </w:t>
            </w:r>
            <w:proofErr w:type="spellStart"/>
            <w:r w:rsidRPr="00EE4FA1">
              <w:rPr>
                <w:rFonts w:ascii="Times New Roman" w:hAnsi="Times New Roman"/>
                <w:i/>
                <w:sz w:val="24"/>
                <w:szCs w:val="24"/>
              </w:rPr>
              <w:t>vitro</w:t>
            </w:r>
            <w:proofErr w:type="spellEnd"/>
            <w:r w:rsidRPr="00EE4FA1">
              <w:rPr>
                <w:rFonts w:ascii="Times New Roman" w:hAnsi="Times New Roman"/>
                <w:sz w:val="24"/>
                <w:szCs w:val="24"/>
              </w:rPr>
              <w:t xml:space="preserve"> дијагностичком </w:t>
            </w:r>
            <w:proofErr w:type="spellStart"/>
            <w:r w:rsidRPr="00EE4FA1">
              <w:rPr>
                <w:rFonts w:ascii="Times New Roman" w:hAnsi="Times New Roman"/>
                <w:sz w:val="24"/>
                <w:szCs w:val="24"/>
              </w:rPr>
              <w:t>детекцијом</w:t>
            </w:r>
            <w:proofErr w:type="spellEnd"/>
            <w:r w:rsidRPr="00EE4FA1">
              <w:rPr>
                <w:rFonts w:ascii="Times New Roman" w:hAnsi="Times New Roman"/>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Кит за екстракцију ДНК и РНК намењен да се обезбеди узорак за употребу са </w:t>
            </w:r>
            <w:r w:rsidRPr="00EE4FA1">
              <w:rPr>
                <w:rFonts w:ascii="Times New Roman" w:hAnsi="Times New Roman"/>
                <w:i/>
                <w:sz w:val="24"/>
                <w:szCs w:val="24"/>
              </w:rPr>
              <w:t xml:space="preserve">in </w:t>
            </w:r>
            <w:proofErr w:type="spellStart"/>
            <w:r w:rsidRPr="00EE4FA1">
              <w:rPr>
                <w:rFonts w:ascii="Times New Roman" w:hAnsi="Times New Roman"/>
                <w:i/>
                <w:sz w:val="24"/>
                <w:szCs w:val="24"/>
              </w:rPr>
              <w:t>vitro</w:t>
            </w:r>
            <w:proofErr w:type="spellEnd"/>
            <w:r w:rsidRPr="00EE4FA1">
              <w:rPr>
                <w:rFonts w:ascii="Times New Roman" w:hAnsi="Times New Roman"/>
                <w:sz w:val="24"/>
                <w:szCs w:val="24"/>
              </w:rPr>
              <w:t xml:space="preserve"> дијагностичким медицинским средством (обезбеђује се </w:t>
            </w:r>
            <w:proofErr w:type="spellStart"/>
            <w:r w:rsidRPr="00EE4FA1">
              <w:rPr>
                <w:rFonts w:ascii="Times New Roman" w:hAnsi="Times New Roman"/>
                <w:sz w:val="24"/>
                <w:szCs w:val="24"/>
              </w:rPr>
              <w:t>валидација</w:t>
            </w:r>
            <w:proofErr w:type="spellEnd"/>
            <w:r w:rsidRPr="00EE4FA1">
              <w:rPr>
                <w:rFonts w:ascii="Times New Roman" w:hAnsi="Times New Roman"/>
                <w:sz w:val="24"/>
                <w:szCs w:val="24"/>
              </w:rPr>
              <w:t xml:space="preserve"> за најмање једну комбинацију)</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Општа опрема</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spacing w:after="200" w:line="276" w:lineRule="auto"/>
              <w:rPr>
                <w:rFonts w:ascii="Times New Roman" w:hAnsi="Times New Roman"/>
                <w:sz w:val="24"/>
                <w:szCs w:val="24"/>
              </w:rPr>
            </w:pPr>
            <w:r w:rsidRPr="00EE4FA1">
              <w:rPr>
                <w:rFonts w:ascii="Times New Roman" w:hAnsi="Times New Roman"/>
                <w:sz w:val="24"/>
                <w:szCs w:val="24"/>
              </w:rPr>
              <w:t xml:space="preserve">Ваге, аналитичке ваге, </w:t>
            </w:r>
            <w:proofErr w:type="spellStart"/>
            <w:r w:rsidRPr="00EE4FA1">
              <w:rPr>
                <w:rFonts w:ascii="Times New Roman" w:hAnsi="Times New Roman"/>
                <w:sz w:val="24"/>
                <w:szCs w:val="24"/>
              </w:rPr>
              <w:t>микротоми</w:t>
            </w:r>
            <w:proofErr w:type="spellEnd"/>
            <w:r w:rsidRPr="00EE4FA1">
              <w:rPr>
                <w:rFonts w:ascii="Times New Roman" w:hAnsi="Times New Roman"/>
                <w:sz w:val="24"/>
                <w:szCs w:val="24"/>
              </w:rPr>
              <w:t xml:space="preserve">, инкубатори, стерилизатори за лабораторијску опрему, апарат </w:t>
            </w:r>
            <w:proofErr w:type="spellStart"/>
            <w:r w:rsidRPr="00EE4FA1">
              <w:rPr>
                <w:rFonts w:ascii="Times New Roman" w:hAnsi="Times New Roman"/>
                <w:sz w:val="24"/>
                <w:szCs w:val="24"/>
              </w:rPr>
              <w:t>заизраду</w:t>
            </w:r>
            <w:proofErr w:type="spellEnd"/>
            <w:r w:rsidRPr="00EE4FA1">
              <w:rPr>
                <w:rFonts w:ascii="Times New Roman" w:hAnsi="Times New Roman"/>
                <w:sz w:val="24"/>
                <w:szCs w:val="24"/>
              </w:rPr>
              <w:t xml:space="preserve"> парафинских препарата</w:t>
            </w:r>
          </w:p>
        </w:tc>
        <w:tc>
          <w:tcPr>
            <w:tcW w:w="3190" w:type="dxa"/>
            <w:tcBorders>
              <w:top w:val="single" w:sz="4" w:space="0" w:color="auto"/>
              <w:left w:val="single" w:sz="4" w:space="0" w:color="auto"/>
              <w:bottom w:val="single" w:sz="4" w:space="0" w:color="auto"/>
              <w:right w:val="single" w:sz="4" w:space="0" w:color="auto"/>
            </w:tcBorders>
          </w:tcPr>
          <w:p w:rsidR="00F84952" w:rsidRPr="00EE4FA1" w:rsidRDefault="00F84952" w:rsidP="00D3547E">
            <w:pPr>
              <w:jc w:val="both"/>
              <w:rPr>
                <w:rFonts w:ascii="Times New Roman" w:hAnsi="Times New Roman"/>
                <w:sz w:val="24"/>
                <w:szCs w:val="24"/>
              </w:rPr>
            </w:pP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ind w:hanging="142"/>
              <w:jc w:val="center"/>
              <w:rPr>
                <w:rFonts w:ascii="Times New Roman" w:hAnsi="Times New Roman"/>
                <w:b/>
                <w:sz w:val="24"/>
                <w:szCs w:val="24"/>
              </w:rPr>
            </w:pPr>
            <w:r w:rsidRPr="00EE4FA1">
              <w:rPr>
                <w:rFonts w:ascii="Times New Roman" w:hAnsi="Times New Roman"/>
                <w:b/>
                <w:sz w:val="24"/>
                <w:szCs w:val="24"/>
              </w:rPr>
              <w:t>ХПЛЦ производи</w:t>
            </w:r>
          </w:p>
        </w:tc>
        <w:tc>
          <w:tcPr>
            <w:tcW w:w="3190" w:type="dxa"/>
            <w:tcBorders>
              <w:top w:val="single" w:sz="4" w:space="0" w:color="auto"/>
              <w:left w:val="single" w:sz="4" w:space="0" w:color="auto"/>
              <w:bottom w:val="single" w:sz="4" w:space="0" w:color="auto"/>
              <w:right w:val="single" w:sz="4" w:space="0" w:color="auto"/>
            </w:tcBorders>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 ХПЛЦ колоне за раздвајање према величини молекула</w:t>
            </w:r>
          </w:p>
          <w:p w:rsidR="00F84952" w:rsidRPr="00EE4FA1" w:rsidRDefault="00F84952" w:rsidP="00D3547E">
            <w:pPr>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both"/>
              <w:rPr>
                <w:rFonts w:ascii="Times New Roman" w:hAnsi="Times New Roman"/>
                <w:sz w:val="24"/>
                <w:szCs w:val="24"/>
              </w:rPr>
            </w:pPr>
            <w:r w:rsidRPr="00EE4FA1">
              <w:rPr>
                <w:rFonts w:ascii="Times New Roman" w:hAnsi="Times New Roman"/>
                <w:sz w:val="24"/>
                <w:szCs w:val="24"/>
              </w:rPr>
              <w:t xml:space="preserve">ХПЛЦ колоне за </w:t>
            </w:r>
            <w:r w:rsidRPr="00EE4FA1">
              <w:rPr>
                <w:rFonts w:ascii="Times New Roman" w:hAnsi="Times New Roman"/>
                <w:i/>
                <w:sz w:val="24"/>
                <w:szCs w:val="24"/>
              </w:rPr>
              <w:t xml:space="preserve">in </w:t>
            </w:r>
            <w:proofErr w:type="spellStart"/>
            <w:r w:rsidRPr="00EE4FA1">
              <w:rPr>
                <w:rFonts w:ascii="Times New Roman" w:hAnsi="Times New Roman"/>
                <w:i/>
                <w:sz w:val="24"/>
                <w:szCs w:val="24"/>
              </w:rPr>
              <w:t>vitro</w:t>
            </w:r>
            <w:proofErr w:type="spellEnd"/>
            <w:r w:rsidRPr="00EE4FA1">
              <w:rPr>
                <w:rFonts w:ascii="Times New Roman" w:hAnsi="Times New Roman"/>
                <w:sz w:val="24"/>
                <w:szCs w:val="24"/>
              </w:rPr>
              <w:t xml:space="preserve"> дијагностичке сврхе: нпр. ХбА1ц</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 xml:space="preserve">Опрема за </w:t>
            </w:r>
            <w:proofErr w:type="spellStart"/>
            <w:r w:rsidRPr="00EE4FA1">
              <w:rPr>
                <w:rFonts w:ascii="Times New Roman" w:hAnsi="Times New Roman"/>
                <w:b/>
                <w:sz w:val="24"/>
                <w:szCs w:val="24"/>
              </w:rPr>
              <w:t>детекцију</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proofErr w:type="spellStart"/>
            <w:r w:rsidRPr="00EE4FA1">
              <w:rPr>
                <w:rFonts w:ascii="Times New Roman" w:hAnsi="Times New Roman"/>
                <w:sz w:val="24"/>
                <w:szCs w:val="24"/>
              </w:rPr>
              <w:t>Масени</w:t>
            </w:r>
            <w:proofErr w:type="spellEnd"/>
            <w:r w:rsidRPr="00EE4FA1">
              <w:rPr>
                <w:rFonts w:ascii="Times New Roman" w:hAnsi="Times New Roman"/>
                <w:sz w:val="24"/>
                <w:szCs w:val="24"/>
              </w:rPr>
              <w:t xml:space="preserve"> </w:t>
            </w:r>
            <w:proofErr w:type="spellStart"/>
            <w:r w:rsidRPr="00EE4FA1">
              <w:rPr>
                <w:rFonts w:ascii="Times New Roman" w:hAnsi="Times New Roman"/>
                <w:sz w:val="24"/>
                <w:szCs w:val="24"/>
              </w:rPr>
              <w:t>спектрометар</w:t>
            </w:r>
            <w:proofErr w:type="spellEnd"/>
            <w:r w:rsidRPr="00EE4FA1">
              <w:rPr>
                <w:rFonts w:ascii="Times New Roman" w:hAnsi="Times New Roman"/>
                <w:sz w:val="24"/>
                <w:szCs w:val="24"/>
              </w:rPr>
              <w:t xml:space="preserve">, </w:t>
            </w:r>
            <w:proofErr w:type="spellStart"/>
            <w:r w:rsidRPr="00EE4FA1">
              <w:rPr>
                <w:rFonts w:ascii="Times New Roman" w:hAnsi="Times New Roman"/>
                <w:sz w:val="24"/>
                <w:szCs w:val="24"/>
              </w:rPr>
              <w:t>спектрофотометри</w:t>
            </w:r>
            <w:proofErr w:type="spellEnd"/>
            <w:r w:rsidRPr="00EE4FA1">
              <w:rPr>
                <w:rFonts w:ascii="Times New Roman" w:hAnsi="Times New Roman"/>
                <w:sz w:val="24"/>
                <w:szCs w:val="24"/>
              </w:rPr>
              <w:t xml:space="preserve">, ЕЛИСА читачи који пружају сирове </w:t>
            </w:r>
            <w:r w:rsidRPr="00EE4FA1">
              <w:rPr>
                <w:rFonts w:ascii="Times New Roman" w:hAnsi="Times New Roman"/>
                <w:sz w:val="24"/>
                <w:szCs w:val="24"/>
              </w:rPr>
              <w:lastRenderedPageBreak/>
              <w:t>податке који кориснику нису директно читљиви и разумљиви (нпр. пикови, изван опсега).</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both"/>
              <w:rPr>
                <w:rFonts w:ascii="Times New Roman" w:hAnsi="Times New Roman"/>
                <w:sz w:val="24"/>
                <w:szCs w:val="24"/>
              </w:rPr>
            </w:pPr>
            <w:r w:rsidRPr="00EE4FA1">
              <w:rPr>
                <w:rFonts w:ascii="Times New Roman" w:hAnsi="Times New Roman"/>
                <w:sz w:val="24"/>
                <w:szCs w:val="24"/>
              </w:rPr>
              <w:lastRenderedPageBreak/>
              <w:t xml:space="preserve">Мек </w:t>
            </w:r>
            <w:proofErr w:type="spellStart"/>
            <w:r w:rsidRPr="00EE4FA1">
              <w:rPr>
                <w:rFonts w:ascii="Times New Roman" w:hAnsi="Times New Roman"/>
                <w:sz w:val="24"/>
                <w:szCs w:val="24"/>
              </w:rPr>
              <w:t>Фарландов</w:t>
            </w:r>
            <w:proofErr w:type="spellEnd"/>
            <w:r w:rsidRPr="00EE4FA1">
              <w:rPr>
                <w:rFonts w:ascii="Times New Roman" w:hAnsi="Times New Roman"/>
                <w:sz w:val="24"/>
                <w:szCs w:val="24"/>
              </w:rPr>
              <w:t xml:space="preserve"> тест густине бактерије </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lastRenderedPageBreak/>
              <w:t>Друго</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proofErr w:type="spellStart"/>
            <w:r w:rsidRPr="00EE4FA1">
              <w:rPr>
                <w:rFonts w:ascii="Times New Roman" w:hAnsi="Times New Roman"/>
                <w:sz w:val="24"/>
                <w:szCs w:val="24"/>
              </w:rPr>
              <w:t>Фетални</w:t>
            </w:r>
            <w:proofErr w:type="spellEnd"/>
            <w:r w:rsidRPr="00EE4FA1">
              <w:rPr>
                <w:rFonts w:ascii="Times New Roman" w:hAnsi="Times New Roman"/>
                <w:sz w:val="24"/>
                <w:szCs w:val="24"/>
              </w:rPr>
              <w:t xml:space="preserve"> говеђи серум, медијуми за ћелијску културу, раствор за фиксирање, медијум за посматрање узорка (носач), пуфери (нпр. ПБС), хемикалије (нпр. сумпорна киселина, </w:t>
            </w:r>
            <w:proofErr w:type="spellStart"/>
            <w:r w:rsidRPr="00EE4FA1">
              <w:rPr>
                <w:rFonts w:ascii="Times New Roman" w:hAnsi="Times New Roman"/>
                <w:sz w:val="24"/>
                <w:szCs w:val="24"/>
              </w:rPr>
              <w:t>формол</w:t>
            </w:r>
            <w:proofErr w:type="spellEnd"/>
            <w:r w:rsidRPr="00EE4FA1">
              <w:rPr>
                <w:rFonts w:ascii="Times New Roman" w:hAnsi="Times New Roman"/>
                <w:sz w:val="24"/>
                <w:szCs w:val="24"/>
              </w:rPr>
              <w:t>, вода)</w:t>
            </w:r>
          </w:p>
        </w:tc>
        <w:tc>
          <w:tcPr>
            <w:tcW w:w="3190" w:type="dxa"/>
            <w:tcBorders>
              <w:top w:val="single" w:sz="4" w:space="0" w:color="auto"/>
              <w:left w:val="single" w:sz="4" w:space="0" w:color="auto"/>
              <w:bottom w:val="single" w:sz="4" w:space="0" w:color="auto"/>
              <w:right w:val="single" w:sz="4" w:space="0" w:color="auto"/>
            </w:tcBorders>
          </w:tcPr>
          <w:p w:rsidR="00F84952" w:rsidRPr="00EE4FA1" w:rsidRDefault="00F84952" w:rsidP="00D3547E">
            <w:pPr>
              <w:jc w:val="both"/>
              <w:rPr>
                <w:rFonts w:ascii="Times New Roman" w:hAnsi="Times New Roman"/>
                <w:sz w:val="24"/>
                <w:szCs w:val="24"/>
              </w:rPr>
            </w:pPr>
          </w:p>
        </w:tc>
      </w:tr>
    </w:tbl>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(Ова табела не садржи потпуну листу примера).</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1.5. Производи само за употребу у истраживању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За даљи водич о производима који су само за употребу у истраживању (</w:t>
      </w:r>
      <w:proofErr w:type="spellStart"/>
      <w:r w:rsidRPr="00EE4FA1">
        <w:rPr>
          <w:rFonts w:ascii="Times New Roman" w:eastAsia="Calibri" w:hAnsi="Times New Roman" w:cs="Times New Roman"/>
          <w:sz w:val="24"/>
          <w:szCs w:val="24"/>
        </w:rPr>
        <w:t>Research</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Use</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Only</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products</w:t>
      </w:r>
      <w:proofErr w:type="spellEnd"/>
      <w:r w:rsidRPr="00EE4FA1">
        <w:rPr>
          <w:rFonts w:ascii="Times New Roman" w:eastAsia="Calibri" w:hAnsi="Times New Roman" w:cs="Times New Roman"/>
          <w:sz w:val="24"/>
          <w:szCs w:val="24"/>
        </w:rPr>
        <w:t xml:space="preserve">, RUO) погледати MEDDEV 2.14/2 </w:t>
      </w:r>
      <w:proofErr w:type="spellStart"/>
      <w:r w:rsidRPr="00EE4FA1">
        <w:rPr>
          <w:rFonts w:ascii="Times New Roman" w:eastAsia="Calibri" w:hAnsi="Times New Roman" w:cs="Times New Roman"/>
          <w:sz w:val="24"/>
          <w:szCs w:val="24"/>
        </w:rPr>
        <w:t>rev</w:t>
      </w:r>
      <w:proofErr w:type="spellEnd"/>
      <w:r w:rsidRPr="00EE4FA1">
        <w:rPr>
          <w:rFonts w:ascii="Times New Roman" w:eastAsia="Calibri" w:hAnsi="Times New Roman" w:cs="Times New Roman"/>
          <w:sz w:val="24"/>
          <w:szCs w:val="24"/>
        </w:rPr>
        <w:t xml:space="preserve">.1: IVD </w:t>
      </w:r>
      <w:proofErr w:type="spellStart"/>
      <w:r w:rsidRPr="00EE4FA1">
        <w:rPr>
          <w:rFonts w:ascii="Times New Roman" w:eastAsia="Calibri" w:hAnsi="Times New Roman" w:cs="Times New Roman"/>
          <w:sz w:val="24"/>
          <w:szCs w:val="24"/>
        </w:rPr>
        <w:t>Guidance</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Research</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Use</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Only</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products</w:t>
      </w:r>
      <w:proofErr w:type="spellEnd"/>
      <w:r w:rsidRPr="00EE4FA1">
        <w:rPr>
          <w:rFonts w:ascii="Times New Roman" w:eastAsia="Calibri" w:hAnsi="Times New Roman" w:cs="Times New Roman"/>
          <w:sz w:val="24"/>
          <w:szCs w:val="24"/>
        </w:rPr>
        <w:t>.</w:t>
      </w:r>
    </w:p>
    <w:p w:rsidR="00F84952"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1.6.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 кит</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Дефиниција</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медицинског средства укључује и кит који је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сам по себи.</w:t>
      </w:r>
      <w:r w:rsidRPr="00EE4FA1">
        <w:rPr>
          <w:rFonts w:ascii="Times New Roman" w:eastAsia="Calibri" w:hAnsi="Times New Roman" w:cs="Times New Roman"/>
          <w:i/>
          <w:sz w:val="24"/>
          <w:szCs w:val="24"/>
        </w:rPr>
        <w:t xml:space="preserve"> </w:t>
      </w:r>
      <w:r w:rsidRPr="00EE4FA1">
        <w:rPr>
          <w:rFonts w:ascii="Times New Roman" w:eastAsia="Calibri" w:hAnsi="Times New Roman" w:cs="Times New Roman"/>
          <w:sz w:val="24"/>
          <w:szCs w:val="24"/>
        </w:rPr>
        <w:t>Прописи којима се уређују</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не дају дефиницију кита, али генерално је прихваћено да се кит састоји од више од једне компоненте које су доступне заједно и намењене за извођење специфичног</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испитивања.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Цела комбинација производа, стављена на тржиште као један производ, третира се као кит и испуњава захтева прописа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ако примарна предвиђена намена целе комбинације производа потпада под дефиницију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медицинског средства.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Комбинована употреба производа садржаних у киту </w:t>
      </w:r>
      <w:proofErr w:type="spellStart"/>
      <w:r w:rsidRPr="00EE4FA1">
        <w:rPr>
          <w:rFonts w:ascii="Times New Roman" w:eastAsia="Calibri" w:hAnsi="Times New Roman" w:cs="Times New Roman"/>
          <w:sz w:val="24"/>
          <w:szCs w:val="24"/>
        </w:rPr>
        <w:t>валидира</w:t>
      </w:r>
      <w:proofErr w:type="spellEnd"/>
      <w:r w:rsidRPr="00EE4FA1">
        <w:rPr>
          <w:rFonts w:ascii="Times New Roman" w:eastAsia="Calibri" w:hAnsi="Times New Roman" w:cs="Times New Roman"/>
          <w:sz w:val="24"/>
          <w:szCs w:val="24"/>
        </w:rPr>
        <w:t xml:space="preserve"> се од произвођача током поступка оцењивања усаглашености.</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Кит се класификује и оцењује се усаглашеност са захтевима прописа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у складу са примарном наменом целе комбинације производа и мора да буде обележен знаком усаглашености.</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Кит са примарном наменом </w:t>
      </w:r>
      <w:r>
        <w:rPr>
          <w:rFonts w:ascii="Times New Roman" w:eastAsia="Calibri" w:hAnsi="Times New Roman" w:cs="Times New Roman"/>
          <w:sz w:val="24"/>
          <w:szCs w:val="24"/>
        </w:rPr>
        <w:t xml:space="preserve">на </w:t>
      </w:r>
      <w:r w:rsidRPr="00EE4FA1">
        <w:rPr>
          <w:rFonts w:ascii="Times New Roman" w:eastAsia="Calibri" w:hAnsi="Times New Roman" w:cs="Times New Roman"/>
          <w:sz w:val="24"/>
          <w:szCs w:val="24"/>
        </w:rPr>
        <w:t>кој</w:t>
      </w:r>
      <w:r>
        <w:rPr>
          <w:rFonts w:ascii="Times New Roman" w:eastAsia="Calibri" w:hAnsi="Times New Roman" w:cs="Times New Roman"/>
          <w:sz w:val="24"/>
          <w:szCs w:val="24"/>
        </w:rPr>
        <w:t>у се примењују</w:t>
      </w:r>
      <w:r w:rsidRPr="00EE4FA1">
        <w:rPr>
          <w:rFonts w:ascii="Times New Roman" w:eastAsia="Calibri" w:hAnsi="Times New Roman" w:cs="Times New Roman"/>
          <w:sz w:val="24"/>
          <w:szCs w:val="24"/>
        </w:rPr>
        <w:t xml:space="preserve"> пропис</w:t>
      </w:r>
      <w:r>
        <w:rPr>
          <w:rFonts w:ascii="Times New Roman" w:eastAsia="Calibri" w:hAnsi="Times New Roman" w:cs="Times New Roman"/>
          <w:sz w:val="24"/>
          <w:szCs w:val="24"/>
        </w:rPr>
        <w:t>и</w:t>
      </w:r>
      <w:r w:rsidRPr="00EE4FA1">
        <w:rPr>
          <w:rFonts w:ascii="Times New Roman" w:eastAsia="Calibri" w:hAnsi="Times New Roman" w:cs="Times New Roman"/>
          <w:sz w:val="24"/>
          <w:szCs w:val="24"/>
        </w:rPr>
        <w:t xml:space="preserve">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може да садржи:</w:t>
      </w:r>
    </w:p>
    <w:p w:rsidR="00F84952"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(нпр. </w:t>
      </w:r>
      <w:proofErr w:type="spellStart"/>
      <w:r w:rsidRPr="00EE4FA1">
        <w:rPr>
          <w:rFonts w:ascii="Times New Roman" w:eastAsia="Calibri" w:hAnsi="Times New Roman" w:cs="Times New Roman"/>
          <w:sz w:val="24"/>
          <w:szCs w:val="24"/>
        </w:rPr>
        <w:t>анитело</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антиген</w:t>
      </w:r>
      <w:proofErr w:type="spellEnd"/>
      <w:r w:rsidRPr="00EE4FA1">
        <w:rPr>
          <w:rFonts w:ascii="Times New Roman" w:eastAsia="Calibri" w:hAnsi="Times New Roman" w:cs="Times New Roman"/>
          <w:sz w:val="24"/>
          <w:szCs w:val="24"/>
        </w:rPr>
        <w:t>, обложене ЕЛИСА плоче, посуде</w:t>
      </w:r>
      <w:r>
        <w:rPr>
          <w:rFonts w:ascii="Times New Roman" w:eastAsia="Calibri" w:hAnsi="Times New Roman" w:cs="Times New Roman"/>
          <w:sz w:val="24"/>
          <w:szCs w:val="24"/>
        </w:rPr>
        <w:t xml:space="preserve"> за узорке), која могу да буду:</w:t>
      </w:r>
    </w:p>
    <w:p w:rsidR="00F84952"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EE4FA1">
        <w:rPr>
          <w:rFonts w:ascii="Times New Roman" w:eastAsia="Calibri" w:hAnsi="Times New Roman" w:cs="Times New Roman"/>
          <w:sz w:val="24"/>
          <w:szCs w:val="24"/>
        </w:rPr>
        <w:t xml:space="preserve"> обележена знаком усаглашености у складу са прописима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који дозвољава да буду ст</w:t>
      </w:r>
      <w:r>
        <w:rPr>
          <w:rFonts w:ascii="Times New Roman" w:eastAsia="Calibri" w:hAnsi="Times New Roman" w:cs="Times New Roman"/>
          <w:sz w:val="24"/>
          <w:szCs w:val="24"/>
        </w:rPr>
        <w:t>ављена на тржиште и појединачно,</w:t>
      </w:r>
    </w:p>
    <w:p w:rsidR="00F84952"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н</w:t>
      </w:r>
      <w:r>
        <w:rPr>
          <w:rFonts w:ascii="Times New Roman" w:eastAsia="Calibri" w:hAnsi="Times New Roman" w:cs="Times New Roman"/>
          <w:sz w:val="24"/>
          <w:szCs w:val="24"/>
        </w:rPr>
        <w:t>еобележена знаком усаглашености,</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комбинација медицинских средстава обележених и необележених знаком усаглашености</w:t>
      </w:r>
      <w:r>
        <w:rPr>
          <w:rFonts w:ascii="Times New Roman" w:eastAsia="Calibri" w:hAnsi="Times New Roman" w:cs="Times New Roman"/>
          <w:sz w:val="24"/>
          <w:szCs w:val="24"/>
        </w:rPr>
        <w:t>;</w:t>
      </w:r>
    </w:p>
    <w:p w:rsidR="00F84952"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б) комбинацију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w:t>
      </w:r>
      <w:r>
        <w:rPr>
          <w:rFonts w:ascii="Times New Roman" w:eastAsia="Calibri" w:hAnsi="Times New Roman" w:cs="Times New Roman"/>
          <w:sz w:val="24"/>
          <w:szCs w:val="24"/>
        </w:rPr>
        <w:t xml:space="preserve">ичких медицинских средстава и: </w:t>
      </w:r>
    </w:p>
    <w:p w:rsidR="00F84952"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медицинских средстава (нпр. ланцете, тампони), која морају да буду обележена знаком усаглашености у складу са прописима којима се уређу</w:t>
      </w:r>
      <w:r>
        <w:rPr>
          <w:rFonts w:ascii="Times New Roman" w:eastAsia="Calibri" w:hAnsi="Times New Roman" w:cs="Times New Roman"/>
          <w:sz w:val="24"/>
          <w:szCs w:val="24"/>
        </w:rPr>
        <w:t>ју медицинска средства (општа),</w:t>
      </w:r>
    </w:p>
    <w:p w:rsidR="00F84952"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других производа, као што су производи за општу лабораторијску употребу (нпр. пипете за трансфер узорка пацијента), који се не обележавају знаком усаглашености</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 xml:space="preserve">прехрамбених производа (нпр. жвакаће гуме дате да би се изазвала реакција пацијента да би се добио специфичан узорак), који се не обележавају знаком усаглашености.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Напомена: док обележавање кита знаком усаглашености обезбеђује слободу кретања у Републици Србији, односно ЕУ (предмет језичких захтева), то није по аутоматизму случај за лекове. Они се посматрају посебно у односу на прописе којима се уређују лекови.</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Напомена: ,,</w:t>
      </w:r>
      <w:proofErr w:type="spellStart"/>
      <w:r w:rsidRPr="00EE4FA1">
        <w:rPr>
          <w:rFonts w:ascii="Times New Roman" w:eastAsia="Calibri" w:hAnsi="Times New Roman" w:cs="Times New Roman"/>
          <w:sz w:val="24"/>
          <w:szCs w:val="24"/>
        </w:rPr>
        <w:t>китˮ</w:t>
      </w:r>
      <w:proofErr w:type="spellEnd"/>
      <w:r w:rsidRPr="00EE4FA1">
        <w:rPr>
          <w:rFonts w:ascii="Times New Roman" w:eastAsia="Calibri" w:hAnsi="Times New Roman" w:cs="Times New Roman"/>
          <w:sz w:val="24"/>
          <w:szCs w:val="24"/>
        </w:rPr>
        <w:t xml:space="preserve"> испуњава захтеве у односу на ,,Информације које обезбеђује </w:t>
      </w:r>
      <w:proofErr w:type="spellStart"/>
      <w:r w:rsidRPr="00EE4FA1">
        <w:rPr>
          <w:rFonts w:ascii="Times New Roman" w:eastAsia="Calibri" w:hAnsi="Times New Roman" w:cs="Times New Roman"/>
          <w:sz w:val="24"/>
          <w:szCs w:val="24"/>
        </w:rPr>
        <w:t>произвођач</w:t>
      </w:r>
      <w:r>
        <w:rPr>
          <w:rFonts w:ascii="Times New Roman" w:eastAsia="Calibri" w:hAnsi="Times New Roman" w:cs="Times New Roman"/>
          <w:sz w:val="24"/>
          <w:szCs w:val="24"/>
        </w:rPr>
        <w:t>ˮ</w:t>
      </w:r>
      <w:proofErr w:type="spellEnd"/>
      <w:r w:rsidRPr="00EE4FA1">
        <w:rPr>
          <w:rFonts w:ascii="Times New Roman" w:eastAsia="Calibri" w:hAnsi="Times New Roman" w:cs="Times New Roman"/>
          <w:sz w:val="24"/>
          <w:szCs w:val="24"/>
        </w:rPr>
        <w:t xml:space="preserve"> (Прилог 2</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Анекс I </w:t>
      </w:r>
      <w:r>
        <w:rPr>
          <w:rFonts w:ascii="Times New Roman" w:eastAsia="Calibri" w:hAnsi="Times New Roman" w:cs="Times New Roman"/>
          <w:sz w:val="24"/>
          <w:szCs w:val="24"/>
        </w:rPr>
        <w:t>Део</w:t>
      </w:r>
      <w:r w:rsidRPr="00EE4FA1">
        <w:rPr>
          <w:rFonts w:ascii="Times New Roman" w:eastAsia="Calibri" w:hAnsi="Times New Roman" w:cs="Times New Roman"/>
          <w:sz w:val="24"/>
          <w:szCs w:val="24"/>
        </w:rPr>
        <w:t xml:space="preserve"> Б, тачка 8.</w:t>
      </w:r>
      <w:r>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подзаконск</w:t>
      </w:r>
      <w:r>
        <w:rPr>
          <w:rFonts w:ascii="Times New Roman" w:eastAsia="Calibri" w:hAnsi="Times New Roman" w:cs="Times New Roman"/>
          <w:sz w:val="24"/>
          <w:szCs w:val="24"/>
        </w:rPr>
        <w:t>ог</w:t>
      </w:r>
      <w:proofErr w:type="spellEnd"/>
      <w:r w:rsidRPr="00EE4FA1">
        <w:rPr>
          <w:rFonts w:ascii="Times New Roman" w:eastAsia="Calibri" w:hAnsi="Times New Roman" w:cs="Times New Roman"/>
          <w:sz w:val="24"/>
          <w:szCs w:val="24"/>
        </w:rPr>
        <w:t xml:space="preserve"> пропис</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којим се уређују основни</w:t>
      </w:r>
      <w:r>
        <w:rPr>
          <w:rFonts w:ascii="Times New Roman" w:eastAsia="Calibri" w:hAnsi="Times New Roman" w:cs="Times New Roman"/>
          <w:sz w:val="24"/>
          <w:szCs w:val="24"/>
        </w:rPr>
        <w:t xml:space="preserve"> захтеви за медицинска средства</w:t>
      </w:r>
      <w:r w:rsidRPr="00EE4FA1">
        <w:rPr>
          <w:rFonts w:ascii="Times New Roman" w:eastAsia="Calibri" w:hAnsi="Times New Roman" w:cs="Times New Roman"/>
          <w:sz w:val="24"/>
          <w:szCs w:val="24"/>
        </w:rPr>
        <w:t xml:space="preserve">) и мора да буде обележен знаком усаглашености, али не и да носи додатни знак усаглашености на спољашњем паковању за медицинска средства укључена у комплет.   </w:t>
      </w:r>
    </w:p>
    <w:p w:rsidR="00F84952"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Напомена: квалификација производа као комплета медицинских средстава (општих) или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кита, базира се на примарној предвиђеној намени целе комбинације производа. Ако је цела комбинација производа квалификована као комплет усаглашава се са захтевима за медицинска средства (општа). Ако су у комплет укључен</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он</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морају да испуњавају захтеве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w:t>
      </w:r>
      <w:r>
        <w:rPr>
          <w:rFonts w:ascii="Times New Roman" w:eastAsia="Calibri" w:hAnsi="Times New Roman" w:cs="Times New Roman"/>
          <w:sz w:val="24"/>
          <w:szCs w:val="24"/>
        </w:rPr>
        <w:t>агностичка медицинска средства.</w:t>
      </w:r>
    </w:p>
    <w:p w:rsidR="00F84952"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1.7. Контролни материјали </w:t>
      </w:r>
    </w:p>
    <w:tbl>
      <w:tblPr>
        <w:tblStyle w:val="TableGrid1"/>
        <w:tblW w:w="0" w:type="auto"/>
        <w:tblInd w:w="0" w:type="dxa"/>
        <w:tblLook w:val="04A0" w:firstRow="1" w:lastRow="0" w:firstColumn="1" w:lastColumn="0" w:noHBand="0" w:noVBand="1"/>
      </w:tblPr>
      <w:tblGrid>
        <w:gridCol w:w="3190"/>
        <w:gridCol w:w="3190"/>
        <w:gridCol w:w="3190"/>
      </w:tblGrid>
      <w:tr w:rsidR="00F84952" w:rsidRPr="00EE4FA1" w:rsidTr="00D3547E">
        <w:tc>
          <w:tcPr>
            <w:tcW w:w="3190" w:type="dxa"/>
            <w:tcBorders>
              <w:top w:val="single" w:sz="4" w:space="0" w:color="auto"/>
              <w:left w:val="single" w:sz="4" w:space="0" w:color="auto"/>
              <w:bottom w:val="single" w:sz="4" w:space="0" w:color="auto"/>
              <w:right w:val="single" w:sz="4" w:space="0" w:color="auto"/>
            </w:tcBorders>
          </w:tcPr>
          <w:p w:rsidR="00F84952" w:rsidRPr="00EE4FA1" w:rsidRDefault="00F84952" w:rsidP="00D3547E">
            <w:pPr>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i/>
                <w:sz w:val="24"/>
                <w:szCs w:val="24"/>
              </w:rPr>
              <w:t>IN VITRO</w:t>
            </w:r>
            <w:r w:rsidRPr="00EE4FA1">
              <w:rPr>
                <w:rFonts w:ascii="Times New Roman" w:hAnsi="Times New Roman"/>
                <w:b/>
                <w:sz w:val="24"/>
                <w:szCs w:val="24"/>
              </w:rPr>
              <w:t xml:space="preserve"> ДИЈАГНОСТИЧКА МЕДИЦИНСКА СРЕДСТВА</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sz w:val="24"/>
                <w:szCs w:val="24"/>
              </w:rPr>
            </w:pPr>
            <w:r w:rsidRPr="00EE4FA1">
              <w:rPr>
                <w:rFonts w:ascii="Times New Roman" w:hAnsi="Times New Roman"/>
                <w:b/>
                <w:sz w:val="24"/>
                <w:szCs w:val="24"/>
              </w:rPr>
              <w:t>НАПОМЕНЕ</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proofErr w:type="spellStart"/>
            <w:r w:rsidRPr="00EE4FA1">
              <w:rPr>
                <w:rFonts w:ascii="Times New Roman" w:hAnsi="Times New Roman"/>
                <w:sz w:val="24"/>
                <w:szCs w:val="24"/>
              </w:rPr>
              <w:t>Калибратори</w:t>
            </w:r>
            <w:proofErr w:type="spellEnd"/>
            <w:r w:rsidRPr="00EE4FA1">
              <w:rPr>
                <w:rFonts w:ascii="Times New Roman" w:hAnsi="Times New Roman"/>
                <w:sz w:val="24"/>
                <w:szCs w:val="24"/>
              </w:rPr>
              <w:t>/контроле укључени у кит</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both"/>
              <w:rPr>
                <w:rFonts w:ascii="Times New Roman" w:hAnsi="Times New Roman"/>
                <w:sz w:val="24"/>
                <w:szCs w:val="24"/>
              </w:rPr>
            </w:pPr>
            <w:r w:rsidRPr="00EE4FA1">
              <w:rPr>
                <w:rFonts w:ascii="Times New Roman" w:hAnsi="Times New Roman"/>
                <w:sz w:val="24"/>
                <w:szCs w:val="24"/>
              </w:rPr>
              <w:t xml:space="preserve">Кит је </w:t>
            </w:r>
            <w:r w:rsidRPr="00EE4FA1">
              <w:rPr>
                <w:rFonts w:ascii="Times New Roman" w:hAnsi="Times New Roman"/>
                <w:i/>
                <w:sz w:val="24"/>
                <w:szCs w:val="24"/>
              </w:rPr>
              <w:t xml:space="preserve">in </w:t>
            </w:r>
            <w:proofErr w:type="spellStart"/>
            <w:r w:rsidRPr="00EE4FA1">
              <w:rPr>
                <w:rFonts w:ascii="Times New Roman" w:hAnsi="Times New Roman"/>
                <w:i/>
                <w:sz w:val="24"/>
                <w:szCs w:val="24"/>
              </w:rPr>
              <w:t>vitro</w:t>
            </w:r>
            <w:proofErr w:type="spellEnd"/>
            <w:r w:rsidRPr="00EE4FA1">
              <w:rPr>
                <w:rFonts w:ascii="Times New Roman" w:hAnsi="Times New Roman"/>
                <w:sz w:val="24"/>
                <w:szCs w:val="24"/>
              </w:rPr>
              <w:t xml:space="preserve"> дијагностичко медицинско средство</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Вредности додељене </w:t>
            </w:r>
            <w:proofErr w:type="spellStart"/>
            <w:r w:rsidRPr="00EE4FA1">
              <w:rPr>
                <w:rFonts w:ascii="Times New Roman" w:hAnsi="Times New Roman"/>
                <w:sz w:val="24"/>
                <w:szCs w:val="24"/>
              </w:rPr>
              <w:t>калибраторима</w:t>
            </w:r>
            <w:proofErr w:type="spellEnd"/>
            <w:r w:rsidRPr="00EE4FA1">
              <w:rPr>
                <w:rFonts w:ascii="Times New Roman" w:hAnsi="Times New Roman"/>
                <w:sz w:val="24"/>
                <w:szCs w:val="24"/>
              </w:rPr>
              <w:t xml:space="preserve"> и контролама морају бити </w:t>
            </w:r>
            <w:proofErr w:type="spellStart"/>
            <w:r w:rsidRPr="00EE4FA1">
              <w:rPr>
                <w:rFonts w:ascii="Times New Roman" w:hAnsi="Times New Roman"/>
                <w:sz w:val="24"/>
                <w:szCs w:val="24"/>
              </w:rPr>
              <w:t>следљиве</w:t>
            </w:r>
            <w:proofErr w:type="spellEnd"/>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Самостални </w:t>
            </w:r>
            <w:proofErr w:type="spellStart"/>
            <w:r w:rsidRPr="00EE4FA1">
              <w:rPr>
                <w:rFonts w:ascii="Times New Roman" w:hAnsi="Times New Roman"/>
                <w:sz w:val="24"/>
                <w:szCs w:val="24"/>
              </w:rPr>
              <w:lastRenderedPageBreak/>
              <w:t>калибратори</w:t>
            </w:r>
            <w:proofErr w:type="spellEnd"/>
            <w:r w:rsidRPr="00EE4FA1">
              <w:rPr>
                <w:rFonts w:ascii="Times New Roman" w:hAnsi="Times New Roman"/>
                <w:sz w:val="24"/>
                <w:szCs w:val="24"/>
              </w:rPr>
              <w:t xml:space="preserve">/контроле (као део кита или обезбеђени засебно) коришћени да потврде/дефинишу критеријуме валидност једног или више </w:t>
            </w:r>
            <w:r w:rsidRPr="00EE4FA1">
              <w:rPr>
                <w:rFonts w:ascii="Times New Roman" w:hAnsi="Times New Roman"/>
                <w:i/>
                <w:sz w:val="24"/>
                <w:szCs w:val="24"/>
              </w:rPr>
              <w:t xml:space="preserve">in </w:t>
            </w:r>
            <w:proofErr w:type="spellStart"/>
            <w:r w:rsidRPr="00EE4FA1">
              <w:rPr>
                <w:rFonts w:ascii="Times New Roman" w:hAnsi="Times New Roman"/>
                <w:i/>
                <w:sz w:val="24"/>
                <w:szCs w:val="24"/>
              </w:rPr>
              <w:t>vitro</w:t>
            </w:r>
            <w:proofErr w:type="spellEnd"/>
            <w:r w:rsidRPr="00EE4FA1">
              <w:rPr>
                <w:rFonts w:ascii="Times New Roman" w:hAnsi="Times New Roman"/>
                <w:sz w:val="24"/>
                <w:szCs w:val="24"/>
              </w:rPr>
              <w:t xml:space="preserve"> дијагностичких тестова</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i/>
                <w:sz w:val="24"/>
                <w:szCs w:val="24"/>
              </w:rPr>
              <w:lastRenderedPageBreak/>
              <w:t xml:space="preserve">In </w:t>
            </w:r>
            <w:proofErr w:type="spellStart"/>
            <w:r w:rsidRPr="00EE4FA1">
              <w:rPr>
                <w:rFonts w:ascii="Times New Roman" w:hAnsi="Times New Roman"/>
                <w:i/>
                <w:sz w:val="24"/>
                <w:szCs w:val="24"/>
              </w:rPr>
              <w:t>vitro</w:t>
            </w:r>
            <w:proofErr w:type="spellEnd"/>
            <w:r w:rsidRPr="00EE4FA1">
              <w:rPr>
                <w:rFonts w:ascii="Times New Roman" w:hAnsi="Times New Roman"/>
                <w:sz w:val="24"/>
                <w:szCs w:val="24"/>
              </w:rPr>
              <w:t xml:space="preserve"> дијагностичко </w:t>
            </w:r>
            <w:r w:rsidRPr="00EE4FA1">
              <w:rPr>
                <w:rFonts w:ascii="Times New Roman" w:hAnsi="Times New Roman"/>
                <w:sz w:val="24"/>
                <w:szCs w:val="24"/>
              </w:rPr>
              <w:lastRenderedPageBreak/>
              <w:t>медицинско средство</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both"/>
              <w:rPr>
                <w:rFonts w:ascii="Times New Roman" w:hAnsi="Times New Roman"/>
                <w:sz w:val="24"/>
                <w:szCs w:val="24"/>
              </w:rPr>
            </w:pPr>
            <w:proofErr w:type="spellStart"/>
            <w:r w:rsidRPr="00EE4FA1">
              <w:rPr>
                <w:rFonts w:ascii="Times New Roman" w:hAnsi="Times New Roman"/>
                <w:sz w:val="24"/>
                <w:szCs w:val="24"/>
              </w:rPr>
              <w:lastRenderedPageBreak/>
              <w:t>Калибратори</w:t>
            </w:r>
            <w:proofErr w:type="spellEnd"/>
            <w:r w:rsidRPr="00EE4FA1">
              <w:rPr>
                <w:rFonts w:ascii="Times New Roman" w:hAnsi="Times New Roman"/>
                <w:sz w:val="24"/>
                <w:szCs w:val="24"/>
              </w:rPr>
              <w:t xml:space="preserve"> и контроле са </w:t>
            </w:r>
            <w:r w:rsidRPr="00EE4FA1">
              <w:rPr>
                <w:rFonts w:ascii="Times New Roman" w:hAnsi="Times New Roman"/>
                <w:sz w:val="24"/>
                <w:szCs w:val="24"/>
              </w:rPr>
              <w:lastRenderedPageBreak/>
              <w:t xml:space="preserve">додељеним вредностима морају бити </w:t>
            </w:r>
            <w:proofErr w:type="spellStart"/>
            <w:r w:rsidRPr="00EE4FA1">
              <w:rPr>
                <w:rFonts w:ascii="Times New Roman" w:hAnsi="Times New Roman"/>
                <w:sz w:val="24"/>
                <w:szCs w:val="24"/>
              </w:rPr>
              <w:t>следљиви</w:t>
            </w:r>
            <w:proofErr w:type="spellEnd"/>
          </w:p>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Ако контролни материјал укључује контролне вредности за </w:t>
            </w:r>
            <w:proofErr w:type="spellStart"/>
            <w:r w:rsidRPr="00EE4FA1">
              <w:rPr>
                <w:rFonts w:ascii="Times New Roman" w:hAnsi="Times New Roman"/>
                <w:sz w:val="24"/>
                <w:szCs w:val="24"/>
              </w:rPr>
              <w:t>пераметре</w:t>
            </w:r>
            <w:proofErr w:type="spellEnd"/>
            <w:r w:rsidRPr="00EE4FA1">
              <w:rPr>
                <w:rFonts w:ascii="Times New Roman" w:hAnsi="Times New Roman"/>
                <w:sz w:val="24"/>
                <w:szCs w:val="24"/>
              </w:rPr>
              <w:t xml:space="preserve"> из Прилог 2</w:t>
            </w:r>
            <w:r>
              <w:rPr>
                <w:rFonts w:ascii="Times New Roman" w:hAnsi="Times New Roman"/>
                <w:sz w:val="24"/>
                <w:szCs w:val="24"/>
              </w:rPr>
              <w:t xml:space="preserve">. </w:t>
            </w:r>
            <w:r w:rsidRPr="00EE4FA1">
              <w:rPr>
                <w:rFonts w:ascii="Times New Roman" w:hAnsi="Times New Roman"/>
                <w:sz w:val="24"/>
                <w:szCs w:val="24"/>
              </w:rPr>
              <w:t>Анекс II Лист</w:t>
            </w:r>
            <w:r>
              <w:rPr>
                <w:rFonts w:ascii="Times New Roman" w:hAnsi="Times New Roman"/>
                <w:sz w:val="24"/>
                <w:szCs w:val="24"/>
              </w:rPr>
              <w:t>а</w:t>
            </w:r>
            <w:r w:rsidRPr="00EE4FA1">
              <w:rPr>
                <w:rFonts w:ascii="Times New Roman" w:hAnsi="Times New Roman"/>
                <w:sz w:val="24"/>
                <w:szCs w:val="24"/>
              </w:rPr>
              <w:t xml:space="preserve"> А или Лист</w:t>
            </w:r>
            <w:r>
              <w:rPr>
                <w:rFonts w:ascii="Times New Roman" w:hAnsi="Times New Roman"/>
                <w:sz w:val="24"/>
                <w:szCs w:val="24"/>
              </w:rPr>
              <w:t>а</w:t>
            </w:r>
            <w:r w:rsidRPr="00EE4FA1">
              <w:rPr>
                <w:rFonts w:ascii="Times New Roman" w:hAnsi="Times New Roman"/>
                <w:sz w:val="24"/>
                <w:szCs w:val="24"/>
              </w:rPr>
              <w:t xml:space="preserve"> Б </w:t>
            </w:r>
            <w:proofErr w:type="spellStart"/>
            <w:r w:rsidRPr="00EE4FA1">
              <w:rPr>
                <w:rFonts w:ascii="Times New Roman" w:hAnsi="Times New Roman"/>
                <w:sz w:val="24"/>
                <w:szCs w:val="24"/>
              </w:rPr>
              <w:t>подзаконског</w:t>
            </w:r>
            <w:proofErr w:type="spellEnd"/>
            <w:r w:rsidRPr="00EE4FA1">
              <w:rPr>
                <w:rFonts w:ascii="Times New Roman" w:hAnsi="Times New Roman"/>
                <w:sz w:val="24"/>
                <w:szCs w:val="24"/>
              </w:rPr>
              <w:t xml:space="preserve"> прописа којим се уређују основни захтеви за медицинска средства, контролни материјал се класификује у складу са највишом класификацијом</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lastRenderedPageBreak/>
              <w:t xml:space="preserve">Специфични материјали за екстерно оцењивање квалитета (EQA) укључујући материјале (засебне </w:t>
            </w:r>
            <w:proofErr w:type="spellStart"/>
            <w:r w:rsidRPr="00EE4FA1">
              <w:rPr>
                <w:rFonts w:ascii="Times New Roman" w:hAnsi="Times New Roman"/>
                <w:sz w:val="24"/>
                <w:szCs w:val="24"/>
              </w:rPr>
              <w:t>калибраторе</w:t>
            </w:r>
            <w:proofErr w:type="spellEnd"/>
            <w:r w:rsidRPr="00EE4FA1">
              <w:rPr>
                <w:rFonts w:ascii="Times New Roman" w:hAnsi="Times New Roman"/>
                <w:sz w:val="24"/>
                <w:szCs w:val="24"/>
              </w:rPr>
              <w:t>) који се користе за екстерни систем обезбеђења квалитета</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Није</w:t>
            </w:r>
            <w:r w:rsidRPr="00EE4FA1">
              <w:rPr>
                <w:rFonts w:ascii="Times New Roman" w:hAnsi="Times New Roman"/>
                <w:i/>
                <w:sz w:val="24"/>
                <w:szCs w:val="24"/>
              </w:rPr>
              <w:t xml:space="preserve"> in </w:t>
            </w:r>
            <w:proofErr w:type="spellStart"/>
            <w:r w:rsidRPr="00EE4FA1">
              <w:rPr>
                <w:rFonts w:ascii="Times New Roman" w:hAnsi="Times New Roman"/>
                <w:i/>
                <w:sz w:val="24"/>
                <w:szCs w:val="24"/>
              </w:rPr>
              <w:t>vitro</w:t>
            </w:r>
            <w:proofErr w:type="spellEnd"/>
            <w:r w:rsidRPr="00EE4FA1">
              <w:rPr>
                <w:rFonts w:ascii="Times New Roman" w:hAnsi="Times New Roman"/>
                <w:sz w:val="24"/>
                <w:szCs w:val="24"/>
              </w:rPr>
              <w:t xml:space="preserve"> дијагностичко медицинско средство*</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Члан 2. </w:t>
            </w:r>
            <w:proofErr w:type="spellStart"/>
            <w:r w:rsidRPr="00EE4FA1">
              <w:rPr>
                <w:rFonts w:ascii="Times New Roman" w:hAnsi="Times New Roman"/>
                <w:sz w:val="24"/>
                <w:szCs w:val="24"/>
              </w:rPr>
              <w:t>тач</w:t>
            </w:r>
            <w:proofErr w:type="spellEnd"/>
            <w:r w:rsidRPr="00EE4FA1">
              <w:rPr>
                <w:rFonts w:ascii="Times New Roman" w:hAnsi="Times New Roman"/>
                <w:sz w:val="24"/>
                <w:szCs w:val="24"/>
              </w:rPr>
              <w:t>. 3) и 12) Закона</w:t>
            </w:r>
          </w:p>
        </w:tc>
      </w:tr>
      <w:tr w:rsidR="00F84952" w:rsidRPr="00EE4FA1" w:rsidTr="00D3547E">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Референтни материјал вишег реда</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Није</w:t>
            </w:r>
            <w:r w:rsidRPr="00EE4FA1">
              <w:rPr>
                <w:rFonts w:ascii="Times New Roman" w:hAnsi="Times New Roman"/>
                <w:i/>
                <w:sz w:val="24"/>
                <w:szCs w:val="24"/>
              </w:rPr>
              <w:t xml:space="preserve"> in </w:t>
            </w:r>
            <w:proofErr w:type="spellStart"/>
            <w:r w:rsidRPr="00EE4FA1">
              <w:rPr>
                <w:rFonts w:ascii="Times New Roman" w:hAnsi="Times New Roman"/>
                <w:i/>
                <w:sz w:val="24"/>
                <w:szCs w:val="24"/>
              </w:rPr>
              <w:t>vitro</w:t>
            </w:r>
            <w:proofErr w:type="spellEnd"/>
            <w:r w:rsidRPr="00EE4FA1">
              <w:rPr>
                <w:rFonts w:ascii="Times New Roman" w:hAnsi="Times New Roman"/>
                <w:sz w:val="24"/>
                <w:szCs w:val="24"/>
              </w:rPr>
              <w:t xml:space="preserve"> дијагностичко медицинско средство</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rPr>
                <w:rFonts w:ascii="Times New Roman" w:hAnsi="Times New Roman"/>
                <w:sz w:val="24"/>
                <w:szCs w:val="24"/>
              </w:rPr>
            </w:pPr>
            <w:r w:rsidRPr="00EE4FA1">
              <w:rPr>
                <w:rFonts w:ascii="Times New Roman" w:hAnsi="Times New Roman"/>
                <w:sz w:val="24"/>
                <w:szCs w:val="24"/>
              </w:rPr>
              <w:t xml:space="preserve">Захтева се </w:t>
            </w:r>
            <w:proofErr w:type="spellStart"/>
            <w:r w:rsidRPr="00EE4FA1">
              <w:rPr>
                <w:rFonts w:ascii="Times New Roman" w:hAnsi="Times New Roman"/>
                <w:sz w:val="24"/>
                <w:szCs w:val="24"/>
              </w:rPr>
              <w:t>метролошка</w:t>
            </w:r>
            <w:proofErr w:type="spellEnd"/>
            <w:r w:rsidRPr="00EE4FA1">
              <w:rPr>
                <w:rFonts w:ascii="Times New Roman" w:hAnsi="Times New Roman"/>
                <w:sz w:val="24"/>
                <w:szCs w:val="24"/>
              </w:rPr>
              <w:t xml:space="preserve"> </w:t>
            </w:r>
            <w:proofErr w:type="spellStart"/>
            <w:r w:rsidRPr="00EE4FA1">
              <w:rPr>
                <w:rFonts w:ascii="Times New Roman" w:hAnsi="Times New Roman"/>
                <w:sz w:val="24"/>
                <w:szCs w:val="24"/>
              </w:rPr>
              <w:t>следљивост</w:t>
            </w:r>
            <w:proofErr w:type="spellEnd"/>
          </w:p>
        </w:tc>
      </w:tr>
    </w:tbl>
    <w:p w:rsidR="00F84952" w:rsidRPr="00EE4FA1" w:rsidRDefault="00F84952" w:rsidP="00F84952">
      <w:pPr>
        <w:jc w:val="both"/>
        <w:rPr>
          <w:rFonts w:ascii="Times New Roman" w:eastAsia="Calibri" w:hAnsi="Times New Roman" w:cs="Times New Roman"/>
          <w:sz w:val="24"/>
          <w:szCs w:val="24"/>
        </w:rPr>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Када организација Екстерног оцењивања квалитета (</w:t>
      </w:r>
      <w:proofErr w:type="spellStart"/>
      <w:r w:rsidRPr="00EE4FA1">
        <w:rPr>
          <w:rFonts w:ascii="Times New Roman" w:eastAsia="Calibri" w:hAnsi="Times New Roman" w:cs="Times New Roman"/>
          <w:sz w:val="24"/>
          <w:szCs w:val="24"/>
        </w:rPr>
        <w:t>External</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Quality</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Assessment</w:t>
      </w:r>
      <w:proofErr w:type="spellEnd"/>
      <w:r w:rsidRPr="00EE4FA1">
        <w:rPr>
          <w:rFonts w:ascii="Times New Roman" w:eastAsia="Calibri" w:hAnsi="Times New Roman" w:cs="Times New Roman"/>
          <w:sz w:val="24"/>
          <w:szCs w:val="24"/>
        </w:rPr>
        <w:t xml:space="preserve">, EQA) учини доступним ове EQA материјале за интерну контролу, националне </w:t>
      </w:r>
      <w:proofErr w:type="spellStart"/>
      <w:r w:rsidRPr="00EE4FA1">
        <w:rPr>
          <w:rFonts w:ascii="Times New Roman" w:eastAsia="Calibri" w:hAnsi="Times New Roman" w:cs="Times New Roman"/>
          <w:sz w:val="24"/>
          <w:szCs w:val="24"/>
        </w:rPr>
        <w:t>калибрационе</w:t>
      </w:r>
      <w:proofErr w:type="spellEnd"/>
      <w:r w:rsidRPr="00EE4FA1">
        <w:rPr>
          <w:rFonts w:ascii="Times New Roman" w:eastAsia="Calibri" w:hAnsi="Times New Roman" w:cs="Times New Roman"/>
          <w:sz w:val="24"/>
          <w:szCs w:val="24"/>
        </w:rPr>
        <w:t xml:space="preserve"> материјале и др, ван обима EQA шема, ови материјали сматрају се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У том случају, организација EQA сматра се произвођачем и производ мора да буде обележен знаком усаглашености.</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2. Специфични случајеви квалификације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2.1. Подлоге за микробиолошке културе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Да би се </w:t>
      </w:r>
      <w:proofErr w:type="spellStart"/>
      <w:r w:rsidRPr="00EE4FA1">
        <w:rPr>
          <w:rFonts w:ascii="Times New Roman" w:eastAsia="Calibri" w:hAnsi="Times New Roman" w:cs="Times New Roman"/>
          <w:sz w:val="24"/>
          <w:szCs w:val="24"/>
        </w:rPr>
        <w:t>квалификовале</w:t>
      </w:r>
      <w:proofErr w:type="spellEnd"/>
      <w:r w:rsidRPr="00EE4FA1">
        <w:rPr>
          <w:rFonts w:ascii="Times New Roman" w:eastAsia="Calibri" w:hAnsi="Times New Roman" w:cs="Times New Roman"/>
          <w:sz w:val="24"/>
          <w:szCs w:val="24"/>
        </w:rPr>
        <w:t xml:space="preserve">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подлоге за културе морају да буду специфично намењене, дизајниране и </w:t>
      </w:r>
      <w:proofErr w:type="spellStart"/>
      <w:r w:rsidRPr="00EE4FA1">
        <w:rPr>
          <w:rFonts w:ascii="Times New Roman" w:eastAsia="Calibri" w:hAnsi="Times New Roman" w:cs="Times New Roman"/>
          <w:sz w:val="24"/>
          <w:szCs w:val="24"/>
        </w:rPr>
        <w:t>валидиране</w:t>
      </w:r>
      <w:proofErr w:type="spellEnd"/>
      <w:r w:rsidRPr="00EE4FA1">
        <w:rPr>
          <w:rFonts w:ascii="Times New Roman" w:eastAsia="Calibri" w:hAnsi="Times New Roman" w:cs="Times New Roman"/>
          <w:sz w:val="24"/>
          <w:szCs w:val="24"/>
        </w:rPr>
        <w:t xml:space="preserve"> тако да обезбеде информације које се тичу физиолошког или патолошког стања, из узорака добијених из људског тела.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Таква квалификација подлога за културе укључује елементе који су доступни кориснику, као што су:</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EE4FA1">
        <w:rPr>
          <w:rFonts w:ascii="Times New Roman" w:eastAsia="Calibri" w:hAnsi="Times New Roman" w:cs="Times New Roman"/>
          <w:sz w:val="24"/>
          <w:szCs w:val="24"/>
        </w:rPr>
        <w:t xml:space="preserve"> тип информација које пружа</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(присутност, карактеристике и </w:t>
      </w:r>
      <w:proofErr w:type="spellStart"/>
      <w:r w:rsidRPr="00EE4FA1">
        <w:rPr>
          <w:rFonts w:ascii="Times New Roman" w:eastAsia="Calibri" w:hAnsi="Times New Roman" w:cs="Times New Roman"/>
          <w:sz w:val="24"/>
          <w:szCs w:val="24"/>
        </w:rPr>
        <w:t>типизација</w:t>
      </w:r>
      <w:proofErr w:type="spellEnd"/>
      <w:r w:rsidRPr="00EE4FA1">
        <w:rPr>
          <w:rFonts w:ascii="Times New Roman" w:eastAsia="Calibri" w:hAnsi="Times New Roman" w:cs="Times New Roman"/>
          <w:sz w:val="24"/>
          <w:szCs w:val="24"/>
        </w:rPr>
        <w:t xml:space="preserve"> микроорганизама) за медицинске сврхе;</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EE4FA1">
        <w:rPr>
          <w:rFonts w:ascii="Times New Roman" w:eastAsia="Calibri" w:hAnsi="Times New Roman" w:cs="Times New Roman"/>
          <w:sz w:val="24"/>
          <w:szCs w:val="24"/>
        </w:rPr>
        <w:t xml:space="preserve"> индикациј</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одговарајућег типа хуманих узорака који се захтевају (опште или специфично као крв или урин);</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EE4FA1">
        <w:rPr>
          <w:rFonts w:ascii="Times New Roman" w:eastAsia="Calibri" w:hAnsi="Times New Roman" w:cs="Times New Roman"/>
          <w:sz w:val="24"/>
          <w:szCs w:val="24"/>
        </w:rPr>
        <w:t xml:space="preserve"> било кој</w:t>
      </w:r>
      <w:r>
        <w:rPr>
          <w:rFonts w:ascii="Times New Roman" w:eastAsia="Calibri" w:hAnsi="Times New Roman" w:cs="Times New Roman"/>
          <w:sz w:val="24"/>
          <w:szCs w:val="24"/>
        </w:rPr>
        <w:t>и</w:t>
      </w:r>
      <w:r w:rsidRPr="00EE4FA1">
        <w:rPr>
          <w:rFonts w:ascii="Times New Roman" w:eastAsia="Calibri" w:hAnsi="Times New Roman" w:cs="Times New Roman"/>
          <w:sz w:val="24"/>
          <w:szCs w:val="24"/>
        </w:rPr>
        <w:t xml:space="preserve"> специфич</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н захтев за сакупљање, транспорт и чувањ</w:t>
      </w:r>
      <w:r>
        <w:rPr>
          <w:rFonts w:ascii="Times New Roman" w:eastAsia="Calibri" w:hAnsi="Times New Roman" w:cs="Times New Roman"/>
          <w:sz w:val="24"/>
          <w:szCs w:val="24"/>
        </w:rPr>
        <w:t>е</w:t>
      </w:r>
      <w:r w:rsidRPr="00EE4FA1">
        <w:rPr>
          <w:rFonts w:ascii="Times New Roman" w:eastAsia="Calibri" w:hAnsi="Times New Roman" w:cs="Times New Roman"/>
          <w:sz w:val="24"/>
          <w:szCs w:val="24"/>
        </w:rPr>
        <w:t xml:space="preserve"> узорака (нпр. стерилни услови </w:t>
      </w:r>
      <w:proofErr w:type="spellStart"/>
      <w:r w:rsidRPr="00EE4FA1">
        <w:rPr>
          <w:rFonts w:ascii="Times New Roman" w:eastAsia="Calibri" w:hAnsi="Times New Roman" w:cs="Times New Roman"/>
          <w:sz w:val="24"/>
          <w:szCs w:val="24"/>
        </w:rPr>
        <w:t>узорковања</w:t>
      </w:r>
      <w:proofErr w:type="spellEnd"/>
      <w:r w:rsidRPr="00EE4FA1">
        <w:rPr>
          <w:rFonts w:ascii="Times New Roman" w:eastAsia="Calibri" w:hAnsi="Times New Roman" w:cs="Times New Roman"/>
          <w:sz w:val="24"/>
          <w:szCs w:val="24"/>
        </w:rPr>
        <w:t xml:space="preserve"> за културе крви);</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E4FA1">
        <w:rPr>
          <w:rFonts w:ascii="Times New Roman" w:eastAsia="Calibri" w:hAnsi="Times New Roman" w:cs="Times New Roman"/>
          <w:sz w:val="24"/>
          <w:szCs w:val="24"/>
        </w:rPr>
        <w:t xml:space="preserve"> критеријуми произвођача за пуштање серије.</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Подлоге за културе без специфичне медицинске сврхе не квалификују се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color w:val="000000" w:themeColor="text1"/>
          <w:sz w:val="24"/>
          <w:szCs w:val="24"/>
        </w:rPr>
        <w:t xml:space="preserve">Суве </w:t>
      </w:r>
      <w:r w:rsidRPr="00EE4FA1">
        <w:rPr>
          <w:rFonts w:ascii="Times New Roman" w:eastAsia="Calibri" w:hAnsi="Times New Roman" w:cs="Times New Roman"/>
          <w:sz w:val="24"/>
          <w:szCs w:val="24"/>
        </w:rPr>
        <w:t>подлоге за културе такође се сматрају</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ако су горе наведени критеријуми испуњени.</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EE4FA1">
        <w:rPr>
          <w:rFonts w:ascii="Times New Roman" w:eastAsia="Calibri" w:hAnsi="Times New Roman" w:cs="Times New Roman"/>
          <w:sz w:val="24"/>
          <w:szCs w:val="24"/>
        </w:rPr>
        <w:t>рашкасте компоненте подлоге за микробиолошке културе у неподељеном паковању (</w:t>
      </w:r>
      <w:proofErr w:type="spellStart"/>
      <w:r w:rsidRPr="00EE4FA1">
        <w:rPr>
          <w:rFonts w:ascii="Times New Roman" w:eastAsia="Calibri" w:hAnsi="Times New Roman" w:cs="Times New Roman"/>
          <w:sz w:val="24"/>
          <w:szCs w:val="24"/>
        </w:rPr>
        <w:t>bulk</w:t>
      </w:r>
      <w:proofErr w:type="spellEnd"/>
      <w:r w:rsidRPr="00EE4FA1">
        <w:rPr>
          <w:rFonts w:ascii="Times New Roman" w:eastAsia="Calibri" w:hAnsi="Times New Roman" w:cs="Times New Roman"/>
          <w:sz w:val="24"/>
          <w:szCs w:val="24"/>
        </w:rPr>
        <w:t xml:space="preserve">) нису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2.2. Боје</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Да би се </w:t>
      </w:r>
      <w:proofErr w:type="spellStart"/>
      <w:r w:rsidRPr="00EE4FA1">
        <w:rPr>
          <w:rFonts w:ascii="Times New Roman" w:eastAsia="Calibri" w:hAnsi="Times New Roman" w:cs="Times New Roman"/>
          <w:sz w:val="24"/>
          <w:szCs w:val="24"/>
        </w:rPr>
        <w:t>квалификовале</w:t>
      </w:r>
      <w:proofErr w:type="spellEnd"/>
      <w:r w:rsidRPr="00EE4FA1">
        <w:rPr>
          <w:rFonts w:ascii="Times New Roman" w:eastAsia="Calibri" w:hAnsi="Times New Roman" w:cs="Times New Roman"/>
          <w:sz w:val="24"/>
          <w:szCs w:val="24"/>
        </w:rPr>
        <w:t xml:space="preserve">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боје које се користе у хистологији и микробиологији (нпр.</w:t>
      </w:r>
      <w:r w:rsidRPr="00EE4FA1">
        <w:rPr>
          <w:rFonts w:ascii="Calibri" w:eastAsia="Calibri" w:hAnsi="Calibri" w:cs="Times New Roman"/>
        </w:rPr>
        <w:t xml:space="preserve"> </w:t>
      </w:r>
      <w:r w:rsidRPr="00EE4FA1">
        <w:rPr>
          <w:rFonts w:ascii="Times New Roman" w:eastAsia="Calibri" w:hAnsi="Times New Roman" w:cs="Times New Roman"/>
          <w:sz w:val="24"/>
          <w:szCs w:val="24"/>
        </w:rPr>
        <w:t xml:space="preserve">размази и исечак ткива) морају да буду намењене да обезбеде информације које се тичу физиолошког или патолошког стања, из узорка добијеног из људског тела. Тврдње морају да буду поткрепљене досијеом </w:t>
      </w:r>
      <w:proofErr w:type="spellStart"/>
      <w:r w:rsidRPr="00EE4FA1">
        <w:rPr>
          <w:rFonts w:ascii="Times New Roman" w:eastAsia="Calibri" w:hAnsi="Times New Roman" w:cs="Times New Roman"/>
          <w:sz w:val="24"/>
          <w:szCs w:val="24"/>
        </w:rPr>
        <w:t>валидације</w:t>
      </w:r>
      <w:proofErr w:type="spellEnd"/>
      <w:r w:rsidRPr="00EE4FA1">
        <w:rPr>
          <w:rFonts w:ascii="Times New Roman" w:eastAsia="Calibri" w:hAnsi="Times New Roman" w:cs="Times New Roman"/>
          <w:sz w:val="24"/>
          <w:szCs w:val="24"/>
        </w:rPr>
        <w:t xml:space="preserve">.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Такве квалификације укључују елементе који су доступни кориснику, као што су:</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EE4FA1">
        <w:rPr>
          <w:rFonts w:ascii="Times New Roman" w:eastAsia="Calibri" w:hAnsi="Times New Roman" w:cs="Times New Roman"/>
          <w:sz w:val="24"/>
          <w:szCs w:val="24"/>
        </w:rPr>
        <w:t xml:space="preserve"> тип информације коју пружа</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за медицинске сврхе (карактеристике и перформансе боја, специфична и</w:t>
      </w:r>
      <w:r>
        <w:rPr>
          <w:rFonts w:ascii="Times New Roman" w:eastAsia="Calibri" w:hAnsi="Times New Roman" w:cs="Times New Roman"/>
          <w:sz w:val="24"/>
          <w:szCs w:val="24"/>
        </w:rPr>
        <w:t>дентификација на основу бојења);</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EE4FA1">
        <w:rPr>
          <w:rFonts w:ascii="Times New Roman" w:eastAsia="Calibri" w:hAnsi="Times New Roman" w:cs="Times New Roman"/>
          <w:sz w:val="24"/>
          <w:szCs w:val="24"/>
        </w:rPr>
        <w:t xml:space="preserve"> индикациј</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одговарајућег типа хуманог узорка који се захтева</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E4FA1">
        <w:rPr>
          <w:rFonts w:ascii="Times New Roman" w:eastAsia="Calibri" w:hAnsi="Times New Roman" w:cs="Times New Roman"/>
          <w:sz w:val="24"/>
          <w:szCs w:val="24"/>
        </w:rPr>
        <w:t xml:space="preserve"> сваки специфич</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н захтев за сакупљање, транспорт, чување и припрему узорака.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Боје без специфичне медицинске намене не квалификују се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2.3. Медицинска средства са </w:t>
      </w:r>
      <w:proofErr w:type="spellStart"/>
      <w:r w:rsidRPr="00EE4FA1">
        <w:rPr>
          <w:rFonts w:ascii="Times New Roman" w:eastAsia="Calibri" w:hAnsi="Times New Roman" w:cs="Times New Roman"/>
          <w:sz w:val="24"/>
          <w:szCs w:val="24"/>
        </w:rPr>
        <w:t>инвазивним</w:t>
      </w:r>
      <w:proofErr w:type="spellEnd"/>
      <w:r w:rsidRPr="00EE4FA1">
        <w:rPr>
          <w:rFonts w:ascii="Times New Roman" w:eastAsia="Calibri" w:hAnsi="Times New Roman" w:cs="Times New Roman"/>
          <w:sz w:val="24"/>
          <w:szCs w:val="24"/>
        </w:rPr>
        <w:t xml:space="preserve"> контактом са телом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дијагностичке намене</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Нека медицинска средства могу у једном производу да имају улогу сакупљања узорка и аналитичку улогу. </w:t>
      </w:r>
      <w:r>
        <w:rPr>
          <w:rFonts w:ascii="Times New Roman" w:eastAsia="Calibri" w:hAnsi="Times New Roman" w:cs="Times New Roman"/>
          <w:sz w:val="24"/>
          <w:szCs w:val="24"/>
        </w:rPr>
        <w:t>Т</w:t>
      </w:r>
      <w:r w:rsidRPr="00EE4FA1">
        <w:rPr>
          <w:rFonts w:ascii="Times New Roman" w:eastAsia="Calibri" w:hAnsi="Times New Roman" w:cs="Times New Roman"/>
          <w:sz w:val="24"/>
          <w:szCs w:val="24"/>
        </w:rPr>
        <w:t xml:space="preserve">а медицинска средства могу да буду гранична између општег и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медицинског средства зато што су у контакту са телом, односно </w:t>
      </w:r>
      <w:proofErr w:type="spellStart"/>
      <w:r w:rsidRPr="00EE4FA1">
        <w:rPr>
          <w:rFonts w:ascii="Times New Roman" w:eastAsia="Calibri" w:hAnsi="Times New Roman" w:cs="Times New Roman"/>
          <w:sz w:val="24"/>
          <w:szCs w:val="24"/>
        </w:rPr>
        <w:t>инвазивна</w:t>
      </w:r>
      <w:proofErr w:type="spellEnd"/>
      <w:r w:rsidRPr="00EE4FA1">
        <w:rPr>
          <w:rFonts w:ascii="Times New Roman" w:eastAsia="Calibri" w:hAnsi="Times New Roman" w:cs="Times New Roman"/>
          <w:sz w:val="24"/>
          <w:szCs w:val="24"/>
        </w:rPr>
        <w:t xml:space="preserve">. Њихова предвиђена намена је да се употребе за испитивање узорака добијених из људског тела у сврху обезбеђивања информација.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Ови гранични случајеви третирају се на бази њихове примарне предвиђене намене. </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ко је примарна предвиђена намена производа да се користи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испитивање узорака добијених из људског тела у сврху обезбеђивања информација у складу са дефиницијом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lastRenderedPageBreak/>
        <w:t>vitro</w:t>
      </w:r>
      <w:proofErr w:type="spellEnd"/>
      <w:r w:rsidRPr="00EE4FA1">
        <w:rPr>
          <w:rFonts w:ascii="Times New Roman" w:eastAsia="Calibri" w:hAnsi="Times New Roman" w:cs="Times New Roman"/>
          <w:sz w:val="24"/>
          <w:szCs w:val="24"/>
        </w:rPr>
        <w:t xml:space="preserve"> дијагностичког медицинског средства, примењују се прописи којима се уређују</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У том случају, због </w:t>
      </w:r>
      <w:proofErr w:type="spellStart"/>
      <w:r w:rsidRPr="00EE4FA1">
        <w:rPr>
          <w:rFonts w:ascii="Times New Roman" w:eastAsia="Calibri" w:hAnsi="Times New Roman" w:cs="Times New Roman"/>
          <w:sz w:val="24"/>
          <w:szCs w:val="24"/>
        </w:rPr>
        <w:t>инвазивних</w:t>
      </w:r>
      <w:proofErr w:type="spellEnd"/>
      <w:r w:rsidRPr="00EE4FA1">
        <w:rPr>
          <w:rFonts w:ascii="Times New Roman" w:eastAsia="Calibri" w:hAnsi="Times New Roman" w:cs="Times New Roman"/>
          <w:sz w:val="24"/>
          <w:szCs w:val="24"/>
        </w:rPr>
        <w:t xml:space="preserve"> карактеристика</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медицинског средства, посебна пажња </w:t>
      </w:r>
      <w:proofErr w:type="spellStart"/>
      <w:r w:rsidRPr="00EE4FA1">
        <w:rPr>
          <w:rFonts w:ascii="Times New Roman" w:eastAsia="Calibri" w:hAnsi="Times New Roman" w:cs="Times New Roman"/>
          <w:sz w:val="24"/>
          <w:szCs w:val="24"/>
        </w:rPr>
        <w:t>посвеђује</w:t>
      </w:r>
      <w:proofErr w:type="spellEnd"/>
      <w:r w:rsidRPr="00EE4FA1">
        <w:rPr>
          <w:rFonts w:ascii="Times New Roman" w:eastAsia="Calibri" w:hAnsi="Times New Roman" w:cs="Times New Roman"/>
          <w:sz w:val="24"/>
          <w:szCs w:val="24"/>
        </w:rPr>
        <w:t xml:space="preserve"> се основним захтевима из Прилога 2</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Анекс I </w:t>
      </w:r>
      <w:proofErr w:type="spellStart"/>
      <w:r w:rsidRPr="00EE4FA1">
        <w:rPr>
          <w:rFonts w:ascii="Times New Roman" w:eastAsia="Calibri" w:hAnsi="Times New Roman" w:cs="Times New Roman"/>
          <w:sz w:val="24"/>
          <w:szCs w:val="24"/>
        </w:rPr>
        <w:t>тач</w:t>
      </w:r>
      <w:proofErr w:type="spellEnd"/>
      <w:r w:rsidRPr="00EE4FA1">
        <w:rPr>
          <w:rFonts w:ascii="Times New Roman" w:eastAsia="Calibri" w:hAnsi="Times New Roman" w:cs="Times New Roman"/>
          <w:sz w:val="24"/>
          <w:szCs w:val="24"/>
        </w:rPr>
        <w:t xml:space="preserve">. 1. и 2. </w:t>
      </w:r>
      <w:proofErr w:type="spellStart"/>
      <w:r w:rsidRPr="00EE4FA1">
        <w:rPr>
          <w:rFonts w:ascii="Times New Roman" w:eastAsia="Calibri" w:hAnsi="Times New Roman" w:cs="Times New Roman"/>
          <w:sz w:val="24"/>
          <w:szCs w:val="24"/>
        </w:rPr>
        <w:t>подзаконског</w:t>
      </w:r>
      <w:proofErr w:type="spellEnd"/>
      <w:r w:rsidRPr="00EE4FA1">
        <w:rPr>
          <w:rFonts w:ascii="Times New Roman" w:eastAsia="Calibri" w:hAnsi="Times New Roman" w:cs="Times New Roman"/>
          <w:sz w:val="24"/>
          <w:szCs w:val="24"/>
        </w:rPr>
        <w:t xml:space="preserve"> прописа којим се уређују основни захтеви за медицинска средства, што укључује све ризике по пацијенте. У том смислу, одговарајући основи захтеви Прилога 1</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тог </w:t>
      </w:r>
      <w:proofErr w:type="spellStart"/>
      <w:r w:rsidRPr="00EE4FA1">
        <w:rPr>
          <w:rFonts w:ascii="Times New Roman" w:eastAsia="Calibri" w:hAnsi="Times New Roman" w:cs="Times New Roman"/>
          <w:sz w:val="24"/>
          <w:szCs w:val="24"/>
        </w:rPr>
        <w:t>подзаконског</w:t>
      </w:r>
      <w:proofErr w:type="spellEnd"/>
      <w:r w:rsidRPr="00EE4FA1">
        <w:rPr>
          <w:rFonts w:ascii="Times New Roman" w:eastAsia="Calibri" w:hAnsi="Times New Roman" w:cs="Times New Roman"/>
          <w:sz w:val="24"/>
          <w:szCs w:val="24"/>
        </w:rPr>
        <w:t xml:space="preserve"> прописа треба да се узму у обзир, конкретно захтеви који се тичу стерилности, </w:t>
      </w:r>
      <w:proofErr w:type="spellStart"/>
      <w:r w:rsidRPr="00EE4FA1">
        <w:rPr>
          <w:rFonts w:ascii="Times New Roman" w:eastAsia="Calibri" w:hAnsi="Times New Roman" w:cs="Times New Roman"/>
          <w:sz w:val="24"/>
          <w:szCs w:val="24"/>
        </w:rPr>
        <w:t>биокомпатибилности</w:t>
      </w:r>
      <w:proofErr w:type="spellEnd"/>
      <w:r w:rsidRPr="00EE4FA1">
        <w:rPr>
          <w:rFonts w:ascii="Times New Roman" w:eastAsia="Calibri" w:hAnsi="Times New Roman" w:cs="Times New Roman"/>
          <w:sz w:val="24"/>
          <w:szCs w:val="24"/>
        </w:rPr>
        <w:t xml:space="preserve"> и токсичности.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Медицинска средства која укључују контакт са људским телом у циљу континуираног сакупљања узорка не сматрају се</w:t>
      </w:r>
      <w:r w:rsidRPr="00EE4FA1">
        <w:rPr>
          <w:rFonts w:ascii="Calibri" w:eastAsia="Calibri" w:hAnsi="Calibri" w:cs="Times New Roman"/>
        </w:rPr>
        <w:t xml:space="preserve">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Примери: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Медицинско средство које укључује вакуум усисавање пљувачке у интегрисану ручицу медицинског средства које садржи материјал </w:t>
      </w:r>
      <w:proofErr w:type="spellStart"/>
      <w:r w:rsidRPr="00EE4FA1">
        <w:rPr>
          <w:rFonts w:ascii="Times New Roman" w:eastAsia="Calibri" w:hAnsi="Times New Roman" w:cs="Times New Roman"/>
          <w:sz w:val="24"/>
          <w:szCs w:val="24"/>
        </w:rPr>
        <w:t>реагенса</w:t>
      </w:r>
      <w:proofErr w:type="spellEnd"/>
      <w:r w:rsidRPr="00EE4FA1">
        <w:rPr>
          <w:rFonts w:ascii="Times New Roman" w:eastAsia="Calibri" w:hAnsi="Times New Roman" w:cs="Times New Roman"/>
          <w:sz w:val="24"/>
          <w:szCs w:val="24"/>
        </w:rPr>
        <w:t xml:space="preserve"> (нпр. за </w:t>
      </w:r>
      <w:proofErr w:type="spellStart"/>
      <w:r w:rsidRPr="00EE4FA1">
        <w:rPr>
          <w:rFonts w:ascii="Times New Roman" w:eastAsia="Calibri" w:hAnsi="Times New Roman" w:cs="Times New Roman"/>
          <w:sz w:val="24"/>
          <w:szCs w:val="24"/>
        </w:rPr>
        <w:t>детекцију</w:t>
      </w:r>
      <w:proofErr w:type="spellEnd"/>
      <w:r w:rsidRPr="00EE4FA1">
        <w:rPr>
          <w:rFonts w:ascii="Times New Roman" w:eastAsia="Calibri" w:hAnsi="Times New Roman" w:cs="Times New Roman"/>
          <w:sz w:val="24"/>
          <w:szCs w:val="24"/>
        </w:rPr>
        <w:t xml:space="preserve"> HIV). Употреба таквих медицинских средстава укључује пенетрацију медицинског средства у телесни отвор за сакупљање узорка, што може да упути на медицинска средства (општа). Ипак, њихова примарна предвиђена намена је обезбеђивање релевантних информација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испитивањем узорка добијеног од пацијента. Кратак контакт медицинског средства са пацијентом или пенетрација у тело пацијента да би се сакупио узорак је помоћна/споредна и случајна у односу на примарну предвиђену намену.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Усни и остали тампони који садрже </w:t>
      </w:r>
      <w:proofErr w:type="spellStart"/>
      <w:r w:rsidRPr="00EE4FA1">
        <w:rPr>
          <w:rFonts w:ascii="Times New Roman" w:eastAsia="Calibri" w:hAnsi="Times New Roman" w:cs="Times New Roman"/>
          <w:sz w:val="24"/>
          <w:szCs w:val="24"/>
        </w:rPr>
        <w:t>реагенсе</w:t>
      </w:r>
      <w:proofErr w:type="spellEnd"/>
      <w:r w:rsidRPr="00EE4FA1">
        <w:rPr>
          <w:rFonts w:ascii="Times New Roman" w:eastAsia="Calibri" w:hAnsi="Times New Roman" w:cs="Times New Roman"/>
          <w:sz w:val="24"/>
          <w:szCs w:val="24"/>
        </w:rPr>
        <w:t xml:space="preserve"> или зоне </w:t>
      </w:r>
      <w:proofErr w:type="spellStart"/>
      <w:r w:rsidRPr="00EE4FA1">
        <w:rPr>
          <w:rFonts w:ascii="Times New Roman" w:eastAsia="Calibri" w:hAnsi="Times New Roman" w:cs="Times New Roman"/>
          <w:sz w:val="24"/>
          <w:szCs w:val="24"/>
        </w:rPr>
        <w:t>реагенаса</w:t>
      </w:r>
      <w:proofErr w:type="spellEnd"/>
      <w:r w:rsidRPr="00EE4FA1">
        <w:rPr>
          <w:rFonts w:ascii="Times New Roman" w:eastAsia="Calibri" w:hAnsi="Times New Roman" w:cs="Times New Roman"/>
          <w:sz w:val="24"/>
          <w:szCs w:val="24"/>
        </w:rPr>
        <w:t xml:space="preserve"> су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јер је њихова примарна предвиђена намена да обезбеде информације релевантне медицинској сврси, специфициране дефиницијом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медицинског средства. У случају да су </w:t>
      </w:r>
      <w:proofErr w:type="spellStart"/>
      <w:r w:rsidRPr="00EE4FA1">
        <w:rPr>
          <w:rFonts w:ascii="Times New Roman" w:eastAsia="Calibri" w:hAnsi="Times New Roman" w:cs="Times New Roman"/>
          <w:sz w:val="24"/>
          <w:szCs w:val="24"/>
        </w:rPr>
        <w:t>инвазивна</w:t>
      </w:r>
      <w:proofErr w:type="spellEnd"/>
      <w:r w:rsidRPr="00EE4FA1">
        <w:rPr>
          <w:rFonts w:ascii="Times New Roman" w:eastAsia="Calibri" w:hAnsi="Times New Roman" w:cs="Times New Roman"/>
          <w:sz w:val="24"/>
          <w:szCs w:val="24"/>
        </w:rPr>
        <w:t>, морају да испуњавају релевантне основне захтеве Прилога 1</w:t>
      </w:r>
      <w:r>
        <w:rPr>
          <w:rFonts w:ascii="Times New Roman" w:eastAsia="Calibri" w:hAnsi="Times New Roman" w:cs="Times New Roman"/>
          <w:sz w:val="24"/>
          <w:szCs w:val="24"/>
        </w:rPr>
        <w:t>.</w:t>
      </w:r>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подзаконског</w:t>
      </w:r>
      <w:proofErr w:type="spellEnd"/>
      <w:r w:rsidRPr="00EE4FA1">
        <w:rPr>
          <w:rFonts w:ascii="Times New Roman" w:eastAsia="Calibri" w:hAnsi="Times New Roman" w:cs="Times New Roman"/>
          <w:sz w:val="24"/>
          <w:szCs w:val="24"/>
        </w:rPr>
        <w:t xml:space="preserve"> прописа којим се уређују основни захтеви за медицинска средства. У случају да тампон не укључује мерну или функцију детекције, сматра се </w:t>
      </w:r>
      <w:proofErr w:type="spellStart"/>
      <w:r w:rsidRPr="00EE4FA1">
        <w:rPr>
          <w:rFonts w:ascii="Times New Roman" w:eastAsia="Calibri" w:hAnsi="Times New Roman" w:cs="Times New Roman"/>
          <w:sz w:val="24"/>
          <w:szCs w:val="24"/>
        </w:rPr>
        <w:t>инвазивним</w:t>
      </w:r>
      <w:proofErr w:type="spellEnd"/>
      <w:r w:rsidRPr="00EE4FA1">
        <w:rPr>
          <w:rFonts w:ascii="Times New Roman" w:eastAsia="Calibri" w:hAnsi="Times New Roman" w:cs="Times New Roman"/>
          <w:sz w:val="24"/>
          <w:szCs w:val="24"/>
        </w:rPr>
        <w:t xml:space="preserve"> медицинским средством за сакупљање узорака и квалификује се као медицинско средство (опште). </w:t>
      </w:r>
    </w:p>
    <w:p w:rsidR="00F84952"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Континуирани систем за праћење нивоа шећера у крви (</w:t>
      </w:r>
      <w:proofErr w:type="spellStart"/>
      <w:r w:rsidRPr="00EE4FA1">
        <w:rPr>
          <w:rFonts w:ascii="Times New Roman" w:eastAsia="Calibri" w:hAnsi="Times New Roman" w:cs="Times New Roman"/>
          <w:sz w:val="24"/>
          <w:szCs w:val="24"/>
        </w:rPr>
        <w:t>холтер</w:t>
      </w:r>
      <w:proofErr w:type="spellEnd"/>
      <w:r w:rsidRPr="00EE4FA1">
        <w:rPr>
          <w:rFonts w:ascii="Times New Roman" w:eastAsia="Calibri" w:hAnsi="Times New Roman" w:cs="Times New Roman"/>
          <w:sz w:val="24"/>
          <w:szCs w:val="24"/>
        </w:rPr>
        <w:t xml:space="preserve">) који укључује </w:t>
      </w:r>
      <w:proofErr w:type="spellStart"/>
      <w:r w:rsidRPr="00EE4FA1">
        <w:rPr>
          <w:rFonts w:ascii="Times New Roman" w:eastAsia="Calibri" w:hAnsi="Times New Roman" w:cs="Times New Roman"/>
          <w:sz w:val="24"/>
          <w:szCs w:val="24"/>
        </w:rPr>
        <w:t>субкутани</w:t>
      </w:r>
      <w:proofErr w:type="spellEnd"/>
      <w:r w:rsidRPr="00EE4FA1">
        <w:rPr>
          <w:rFonts w:ascii="Times New Roman" w:eastAsia="Calibri" w:hAnsi="Times New Roman" w:cs="Times New Roman"/>
          <w:sz w:val="24"/>
          <w:szCs w:val="24"/>
        </w:rPr>
        <w:t xml:space="preserve"> катетер за снабдевање екстерног анализатора узорком пацијента, је медицинско средство, али не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јер је током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мерне функције неопходан </w:t>
      </w:r>
      <w:proofErr w:type="spellStart"/>
      <w:r w:rsidRPr="00EE4FA1">
        <w:rPr>
          <w:rFonts w:ascii="Times New Roman" w:eastAsia="Calibri" w:hAnsi="Times New Roman" w:cs="Times New Roman"/>
          <w:sz w:val="24"/>
          <w:szCs w:val="24"/>
        </w:rPr>
        <w:t>инвазивни</w:t>
      </w:r>
      <w:proofErr w:type="spellEnd"/>
      <w:r w:rsidRPr="00EE4FA1">
        <w:rPr>
          <w:rFonts w:ascii="Times New Roman" w:eastAsia="Calibri" w:hAnsi="Times New Roman" w:cs="Times New Roman"/>
          <w:sz w:val="24"/>
          <w:szCs w:val="24"/>
        </w:rPr>
        <w:t xml:space="preserve"> контакт са пацијентом да би се добио континуиран проток узорка. У том случају, извршена је аналитичка функција и истовремено континуирано сакупљање узорка. Нема одвајања узорка од пацијента и стога се аналитичка функција не може исправно окарактерисати као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i/>
          <w:sz w:val="24"/>
          <w:szCs w:val="24"/>
        </w:rPr>
        <w:t xml:space="preserve">. </w:t>
      </w:r>
      <w:r w:rsidRPr="00EE4FA1">
        <w:rPr>
          <w:rFonts w:ascii="Times New Roman" w:eastAsia="Calibri" w:hAnsi="Times New Roman" w:cs="Times New Roman"/>
          <w:sz w:val="24"/>
          <w:szCs w:val="24"/>
        </w:rPr>
        <w:t>Такво медицинско средство је стога медицинско средство (опште).</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2.4. Медицинска средства где узорак није укључен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Нека дијагностичка медицинска средства функционишу без потребе поседовања</w:t>
      </w: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узорка узетог од пацијента.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lastRenderedPageBreak/>
        <w:t xml:space="preserve">Дефиниција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дијагностичког медицинског средства каже да су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намењена од произвођача за употребу 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испитивању узорака добијених из људског тела. Стога, ако нема узорка добијеног из људског тела, медицинско средство се не сматра</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Такви производи су </w:t>
      </w:r>
      <w:proofErr w:type="spellStart"/>
      <w:r w:rsidRPr="00EE4FA1">
        <w:rPr>
          <w:rFonts w:ascii="Times New Roman" w:eastAsia="Calibri" w:hAnsi="Times New Roman" w:cs="Times New Roman"/>
          <w:sz w:val="24"/>
          <w:szCs w:val="24"/>
        </w:rPr>
        <w:t>медициска</w:t>
      </w:r>
      <w:proofErr w:type="spellEnd"/>
      <w:r w:rsidRPr="00EE4FA1">
        <w:rPr>
          <w:rFonts w:ascii="Times New Roman" w:eastAsia="Calibri" w:hAnsi="Times New Roman" w:cs="Times New Roman"/>
          <w:sz w:val="24"/>
          <w:szCs w:val="24"/>
        </w:rPr>
        <w:t xml:space="preserve"> средства (општа).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Примери:</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н</w:t>
      </w:r>
      <w:r w:rsidRPr="00EE4FA1">
        <w:rPr>
          <w:rFonts w:ascii="Times New Roman" w:eastAsia="Calibri" w:hAnsi="Times New Roman" w:cs="Times New Roman"/>
          <w:sz w:val="24"/>
          <w:szCs w:val="24"/>
        </w:rPr>
        <w:t>еинвазивно</w:t>
      </w:r>
      <w:proofErr w:type="spellEnd"/>
      <w:r w:rsidRPr="00EE4FA1">
        <w:rPr>
          <w:rFonts w:ascii="Times New Roman" w:eastAsia="Calibri" w:hAnsi="Times New Roman" w:cs="Times New Roman"/>
          <w:sz w:val="24"/>
          <w:szCs w:val="24"/>
        </w:rPr>
        <w:t xml:space="preserve"> медицинско средство за </w:t>
      </w:r>
      <w:proofErr w:type="spellStart"/>
      <w:r w:rsidRPr="00EE4FA1">
        <w:rPr>
          <w:rFonts w:ascii="Times New Roman" w:eastAsia="Calibri" w:hAnsi="Times New Roman" w:cs="Times New Roman"/>
          <w:sz w:val="24"/>
          <w:szCs w:val="24"/>
        </w:rPr>
        <w:t>детекцију</w:t>
      </w:r>
      <w:proofErr w:type="spellEnd"/>
      <w:r w:rsidRPr="00EE4FA1">
        <w:rPr>
          <w:rFonts w:ascii="Times New Roman" w:eastAsia="Calibri" w:hAnsi="Times New Roman" w:cs="Times New Roman"/>
          <w:sz w:val="24"/>
          <w:szCs w:val="24"/>
        </w:rPr>
        <w:t xml:space="preserve"> шећера у крви емисијом енергије (нпр. блиска инфрацрвена енергија) није</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дијагностичко медицинско средство јер није укључен узорак добијен из људског тела, али јесте медицинско средство (опште)</w:t>
      </w:r>
      <w:r>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п</w:t>
      </w:r>
      <w:r w:rsidRPr="00EE4FA1">
        <w:rPr>
          <w:rFonts w:ascii="Times New Roman" w:eastAsia="Calibri" w:hAnsi="Times New Roman" w:cs="Times New Roman"/>
          <w:sz w:val="24"/>
          <w:szCs w:val="24"/>
        </w:rPr>
        <w:t>улсни</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оксиметар</w:t>
      </w:r>
      <w:proofErr w:type="spellEnd"/>
      <w:r w:rsidRPr="00EE4FA1">
        <w:rPr>
          <w:rFonts w:ascii="Times New Roman" w:eastAsia="Calibri" w:hAnsi="Times New Roman" w:cs="Times New Roman"/>
          <w:sz w:val="24"/>
          <w:szCs w:val="24"/>
        </w:rPr>
        <w:t xml:space="preserve"> који емитује светлост кроз врх прста и апсорбује инфрацрвено светло, ради мерења односа </w:t>
      </w:r>
      <w:proofErr w:type="spellStart"/>
      <w:r w:rsidRPr="00EE4FA1">
        <w:rPr>
          <w:rFonts w:ascii="Times New Roman" w:eastAsia="Calibri" w:hAnsi="Times New Roman" w:cs="Times New Roman"/>
          <w:sz w:val="24"/>
          <w:szCs w:val="24"/>
        </w:rPr>
        <w:t>окси</w:t>
      </w:r>
      <w:proofErr w:type="spellEnd"/>
      <w:r w:rsidRPr="00EE4FA1">
        <w:rPr>
          <w:rFonts w:ascii="Times New Roman" w:eastAsia="Calibri" w:hAnsi="Times New Roman" w:cs="Times New Roman"/>
          <w:sz w:val="24"/>
          <w:szCs w:val="24"/>
        </w:rPr>
        <w:t>/</w:t>
      </w:r>
      <w:proofErr w:type="spellStart"/>
      <w:r w:rsidRPr="00EE4FA1">
        <w:rPr>
          <w:rFonts w:ascii="Times New Roman" w:eastAsia="Calibri" w:hAnsi="Times New Roman" w:cs="Times New Roman"/>
          <w:sz w:val="24"/>
          <w:szCs w:val="24"/>
        </w:rPr>
        <w:t>деоксихемоглобина</w:t>
      </w:r>
      <w:proofErr w:type="spellEnd"/>
      <w:r w:rsidRPr="00EE4FA1">
        <w:rPr>
          <w:rFonts w:ascii="Times New Roman" w:eastAsia="Calibri" w:hAnsi="Times New Roman" w:cs="Times New Roman"/>
          <w:sz w:val="24"/>
          <w:szCs w:val="24"/>
        </w:rPr>
        <w:t xml:space="preserve"> спада у медицинска средства (општа). Није укључен узорак добијен од пацијента. </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color w:val="FF0000"/>
          <w:sz w:val="24"/>
          <w:szCs w:val="24"/>
        </w:rPr>
      </w:pPr>
      <w:r w:rsidRPr="00EE4FA1">
        <w:rPr>
          <w:rFonts w:ascii="Times New Roman" w:eastAsia="Calibri" w:hAnsi="Times New Roman" w:cs="Times New Roman"/>
          <w:sz w:val="24"/>
          <w:szCs w:val="24"/>
        </w:rPr>
        <w:t>2.5. Медицинска средства укључена у биолошки или хемијски оружани</w:t>
      </w:r>
      <w:r w:rsidRPr="00EE4FA1">
        <w:rPr>
          <w:rFonts w:ascii="Times New Roman" w:eastAsia="Calibri" w:hAnsi="Times New Roman" w:cs="Times New Roman"/>
          <w:color w:val="000000" w:themeColor="text1"/>
          <w:sz w:val="24"/>
          <w:szCs w:val="24"/>
        </w:rPr>
        <w:t xml:space="preserve"> сукоб</w:t>
      </w:r>
      <w:r w:rsidRPr="00EE4FA1">
        <w:rPr>
          <w:rFonts w:ascii="Times New Roman" w:eastAsia="Calibri" w:hAnsi="Times New Roman" w:cs="Times New Roman"/>
          <w:color w:val="FF0000"/>
          <w:sz w:val="24"/>
          <w:szCs w:val="24"/>
        </w:rPr>
        <w:t xml:space="preserve">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Медицинска средства за </w:t>
      </w:r>
      <w:proofErr w:type="spellStart"/>
      <w:r w:rsidRPr="00EE4FA1">
        <w:rPr>
          <w:rFonts w:ascii="Times New Roman" w:eastAsia="Calibri" w:hAnsi="Times New Roman" w:cs="Times New Roman"/>
          <w:sz w:val="24"/>
          <w:szCs w:val="24"/>
        </w:rPr>
        <w:t>детекцију</w:t>
      </w:r>
      <w:proofErr w:type="spellEnd"/>
      <w:r w:rsidRPr="00EE4FA1">
        <w:rPr>
          <w:rFonts w:ascii="Times New Roman" w:eastAsia="Calibri" w:hAnsi="Times New Roman" w:cs="Times New Roman"/>
          <w:sz w:val="24"/>
          <w:szCs w:val="24"/>
        </w:rPr>
        <w:t xml:space="preserve"> агенаса </w:t>
      </w:r>
      <w:proofErr w:type="spellStart"/>
      <w:r w:rsidRPr="00EE4FA1">
        <w:rPr>
          <w:rFonts w:ascii="Times New Roman" w:eastAsia="Calibri" w:hAnsi="Times New Roman" w:cs="Times New Roman"/>
          <w:sz w:val="24"/>
          <w:szCs w:val="24"/>
        </w:rPr>
        <w:t>биолошог</w:t>
      </w:r>
      <w:proofErr w:type="spellEnd"/>
      <w:r w:rsidRPr="00EE4FA1">
        <w:rPr>
          <w:rFonts w:ascii="Times New Roman" w:eastAsia="Calibri" w:hAnsi="Times New Roman" w:cs="Times New Roman"/>
          <w:sz w:val="24"/>
          <w:szCs w:val="24"/>
        </w:rPr>
        <w:t xml:space="preserve"> или хемијског оружаног сукоба у окружењу нису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јер немају медицинску сврху. Ипак, ако је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испитивање хуманог узорка ради детекције таквог биолошког или хемијског </w:t>
      </w:r>
      <w:proofErr w:type="spellStart"/>
      <w:r w:rsidRPr="00EE4FA1">
        <w:rPr>
          <w:rFonts w:ascii="Times New Roman" w:eastAsia="Calibri" w:hAnsi="Times New Roman" w:cs="Times New Roman"/>
          <w:sz w:val="24"/>
          <w:szCs w:val="24"/>
        </w:rPr>
        <w:t>агенса</w:t>
      </w:r>
      <w:proofErr w:type="spellEnd"/>
      <w:r w:rsidRPr="00EE4FA1">
        <w:rPr>
          <w:rFonts w:ascii="Times New Roman" w:eastAsia="Calibri" w:hAnsi="Times New Roman" w:cs="Times New Roman"/>
          <w:sz w:val="24"/>
          <w:szCs w:val="24"/>
        </w:rPr>
        <w:t xml:space="preserve"> са медицинском сврхом, једна од предвиђених намена одређеног производа, примењују се прописи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2.6. Медицинска средства за употребу у примени </w:t>
      </w:r>
      <w:proofErr w:type="spellStart"/>
      <w:r w:rsidRPr="00EE4FA1">
        <w:rPr>
          <w:rFonts w:ascii="Times New Roman" w:eastAsia="Calibri" w:hAnsi="Times New Roman" w:cs="Times New Roman"/>
          <w:sz w:val="24"/>
          <w:szCs w:val="24"/>
        </w:rPr>
        <w:t>прекршајних</w:t>
      </w:r>
      <w:proofErr w:type="spellEnd"/>
      <w:r w:rsidRPr="00EE4FA1">
        <w:rPr>
          <w:rFonts w:ascii="Times New Roman" w:eastAsia="Calibri" w:hAnsi="Times New Roman" w:cs="Times New Roman"/>
          <w:sz w:val="24"/>
          <w:szCs w:val="24"/>
        </w:rPr>
        <w:t xml:space="preserve"> прописа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Медицинска средства намењена за употребу у примени </w:t>
      </w:r>
      <w:proofErr w:type="spellStart"/>
      <w:r w:rsidRPr="00EE4FA1">
        <w:rPr>
          <w:rFonts w:ascii="Times New Roman" w:eastAsia="Calibri" w:hAnsi="Times New Roman" w:cs="Times New Roman"/>
          <w:sz w:val="24"/>
          <w:szCs w:val="24"/>
        </w:rPr>
        <w:t>прекршајних</w:t>
      </w:r>
      <w:proofErr w:type="spellEnd"/>
      <w:r w:rsidRPr="00EE4FA1">
        <w:rPr>
          <w:rFonts w:ascii="Times New Roman" w:eastAsia="Calibri" w:hAnsi="Times New Roman" w:cs="Times New Roman"/>
          <w:sz w:val="24"/>
          <w:szCs w:val="24"/>
        </w:rPr>
        <w:t xml:space="preserve"> прописа или друге немедицинске сврхе, нпр. тестови за утврђивање очинства или тестови за утврђивање злоупотребе дрога, односно алкохола не квалификују се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w:t>
      </w:r>
    </w:p>
    <w:p w:rsidR="00F84952"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Ако је ипак медицинска сврха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испитивања људских узорака  једна од предвиђених намена одређеног производа, примењују се прописи којима се уређују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2.7. Веза са прописима којима се уређују </w:t>
      </w:r>
      <w:proofErr w:type="spellStart"/>
      <w:r w:rsidRPr="00EE4FA1">
        <w:rPr>
          <w:rFonts w:ascii="Times New Roman" w:eastAsia="Calibri" w:hAnsi="Times New Roman" w:cs="Times New Roman"/>
          <w:sz w:val="24"/>
          <w:szCs w:val="24"/>
        </w:rPr>
        <w:t>биоциди</w:t>
      </w:r>
      <w:proofErr w:type="spellEnd"/>
      <w:r w:rsidRPr="00EE4FA1">
        <w:rPr>
          <w:rFonts w:ascii="Times New Roman" w:eastAsia="Calibri" w:hAnsi="Times New Roman" w:cs="Times New Roman"/>
          <w:sz w:val="24"/>
          <w:szCs w:val="24"/>
        </w:rPr>
        <w:t xml:space="preserve">, односно Директива 98/8/EC </w:t>
      </w:r>
    </w:p>
    <w:p w:rsidR="00F84952" w:rsidRPr="00986E97"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На</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не примењују се проп</w:t>
      </w:r>
      <w:r>
        <w:rPr>
          <w:rFonts w:ascii="Times New Roman" w:eastAsia="Calibri" w:hAnsi="Times New Roman" w:cs="Times New Roman"/>
          <w:sz w:val="24"/>
          <w:szCs w:val="24"/>
        </w:rPr>
        <w:t xml:space="preserve">иси којима се уређују </w:t>
      </w:r>
      <w:proofErr w:type="spellStart"/>
      <w:r>
        <w:rPr>
          <w:rFonts w:ascii="Times New Roman" w:eastAsia="Calibri" w:hAnsi="Times New Roman" w:cs="Times New Roman"/>
          <w:sz w:val="24"/>
          <w:szCs w:val="24"/>
        </w:rPr>
        <w:t>биоциди</w:t>
      </w:r>
      <w:proofErr w:type="spellEnd"/>
      <w:r>
        <w:rPr>
          <w:rFonts w:ascii="Times New Roman" w:eastAsia="Calibri" w:hAnsi="Times New Roman" w:cs="Times New Roman"/>
          <w:sz w:val="24"/>
          <w:szCs w:val="24"/>
        </w:rPr>
        <w:t xml:space="preserve">. </w:t>
      </w:r>
    </w:p>
    <w:p w:rsidR="00F84952" w:rsidRPr="00EE4FA1" w:rsidRDefault="00F84952" w:rsidP="00F84952">
      <w:pPr>
        <w:jc w:val="center"/>
        <w:rPr>
          <w:rFonts w:ascii="Times New Roman" w:eastAsia="Calibri" w:hAnsi="Times New Roman" w:cs="Times New Roman"/>
          <w:sz w:val="24"/>
          <w:szCs w:val="24"/>
        </w:rPr>
      </w:pPr>
      <w:r w:rsidRPr="00EE4FA1">
        <w:rPr>
          <w:rFonts w:ascii="Times New Roman" w:eastAsia="Calibri" w:hAnsi="Times New Roman" w:cs="Times New Roman"/>
          <w:sz w:val="24"/>
          <w:szCs w:val="24"/>
        </w:rPr>
        <w:t>Део Б  – Класификација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 Општи принципи класификације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класификују се у две главне класе производа:</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EE4FA1">
        <w:rPr>
          <w:rFonts w:ascii="Times New Roman" w:eastAsia="Calibri" w:hAnsi="Times New Roman" w:cs="Times New Roman"/>
          <w:sz w:val="24"/>
          <w:szCs w:val="24"/>
        </w:rPr>
        <w:t xml:space="preserve"> велика већина медицинских средства не представља директан ризик по пацијента или јавно здравље и употребљавају се од компетентних обучених професионалаца и добијени резултати често могу да буду потврђени на други начин, поступак оцењивања усаглашености може да се спроведе, као опште правило, под самосталном одговорношћу произвођача, па се ова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називају: ,,остала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w:t>
      </w:r>
      <w:proofErr w:type="spellStart"/>
      <w:r w:rsidRPr="00EE4FA1">
        <w:rPr>
          <w:rFonts w:ascii="Times New Roman" w:eastAsia="Calibri" w:hAnsi="Times New Roman" w:cs="Times New Roman"/>
          <w:sz w:val="24"/>
          <w:szCs w:val="24"/>
        </w:rPr>
        <w:t>средстваˮ</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намењена за употребу од нестручних лица  називају се ,,</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за </w:t>
      </w:r>
      <w:proofErr w:type="spellStart"/>
      <w:r w:rsidRPr="00EE4FA1">
        <w:rPr>
          <w:rFonts w:ascii="Times New Roman" w:eastAsia="Calibri" w:hAnsi="Times New Roman" w:cs="Times New Roman"/>
          <w:sz w:val="24"/>
          <w:szCs w:val="24"/>
        </w:rPr>
        <w:t>самотестирањеˮ</w:t>
      </w:r>
      <w:proofErr w:type="spellEnd"/>
      <w:r w:rsidRPr="00EE4FA1">
        <w:rPr>
          <w:rFonts w:ascii="Times New Roman" w:eastAsia="Calibri" w:hAnsi="Times New Roman" w:cs="Times New Roman"/>
          <w:sz w:val="24"/>
          <w:szCs w:val="24"/>
        </w:rPr>
        <w:t xml:space="preserve"> и имају посебне захтеве прописане Законом и подзаконским прописом којим се уређују основни захтеви за медицинска средства у односу на поступак оцењивања усаглашености, који укључује тело за оцењивање усаглашености, као и у односу на основне захтеве у п</w:t>
      </w:r>
      <w:r>
        <w:rPr>
          <w:rFonts w:ascii="Times New Roman" w:eastAsia="Calibri" w:hAnsi="Times New Roman" w:cs="Times New Roman"/>
          <w:sz w:val="24"/>
          <w:szCs w:val="24"/>
        </w:rPr>
        <w:t>огледу информација за корисника;</w:t>
      </w:r>
    </w:p>
    <w:p w:rsidR="00F84952" w:rsidRPr="00EE4FA1" w:rsidRDefault="00F84952" w:rsidP="00F8495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EE4FA1">
        <w:rPr>
          <w:rFonts w:ascii="Times New Roman" w:eastAsia="Calibri" w:hAnsi="Times New Roman" w:cs="Times New Roman"/>
          <w:sz w:val="24"/>
          <w:szCs w:val="24"/>
        </w:rPr>
        <w:t xml:space="preserve">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чије су исправне перформансе есенцијалне за медицинску праксу и чија </w:t>
      </w:r>
      <w:proofErr w:type="spellStart"/>
      <w:r w:rsidRPr="00EE4FA1">
        <w:rPr>
          <w:rFonts w:ascii="Times New Roman" w:eastAsia="Calibri" w:hAnsi="Times New Roman" w:cs="Times New Roman"/>
          <w:sz w:val="24"/>
          <w:szCs w:val="24"/>
        </w:rPr>
        <w:t>неисправност</w:t>
      </w:r>
      <w:proofErr w:type="spellEnd"/>
      <w:r w:rsidRPr="00EE4FA1">
        <w:rPr>
          <w:rFonts w:ascii="Times New Roman" w:eastAsia="Calibri" w:hAnsi="Times New Roman" w:cs="Times New Roman"/>
          <w:sz w:val="24"/>
          <w:szCs w:val="24"/>
        </w:rPr>
        <w:t xml:space="preserve"> може да изазове озбиљан ризик по здравље појединачног пацијента или јавно здравље дефинишу се као високо-ризична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и наведена су у Прилог</w:t>
      </w:r>
      <w:r>
        <w:rPr>
          <w:rFonts w:ascii="Times New Roman" w:eastAsia="Calibri" w:hAnsi="Times New Roman" w:cs="Times New Roman"/>
          <w:sz w:val="24"/>
          <w:szCs w:val="24"/>
        </w:rPr>
        <w:t>у</w:t>
      </w:r>
      <w:r w:rsidRPr="00EE4FA1">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Анекс II Лист</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А и Лист</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Б </w:t>
      </w:r>
      <w:proofErr w:type="spellStart"/>
      <w:r w:rsidRPr="00EE4FA1">
        <w:rPr>
          <w:rFonts w:ascii="Times New Roman" w:eastAsia="Calibri" w:hAnsi="Times New Roman" w:cs="Times New Roman"/>
          <w:sz w:val="24"/>
          <w:szCs w:val="24"/>
        </w:rPr>
        <w:t>подзаконског</w:t>
      </w:r>
      <w:proofErr w:type="spellEnd"/>
      <w:r w:rsidRPr="00EE4FA1">
        <w:rPr>
          <w:rFonts w:ascii="Times New Roman" w:eastAsia="Calibri" w:hAnsi="Times New Roman" w:cs="Times New Roman"/>
          <w:sz w:val="24"/>
          <w:szCs w:val="24"/>
        </w:rPr>
        <w:t xml:space="preserve"> прописа којим се уређују основни захтеви за медицинска средства и имају посебне захтеве прописане Законом и подзаконским прописом којим се уређују основни захтеви за медицинска средства у односу на поступак оцењивања усаглашености, који укључује тело за оцењивање усаглашености.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из Прилог</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Анекс II Лист</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А </w:t>
      </w:r>
      <w:proofErr w:type="spellStart"/>
      <w:r w:rsidRPr="00EE4FA1">
        <w:rPr>
          <w:rFonts w:ascii="Times New Roman" w:eastAsia="Calibri" w:hAnsi="Times New Roman" w:cs="Times New Roman"/>
          <w:sz w:val="24"/>
          <w:szCs w:val="24"/>
        </w:rPr>
        <w:t>подзаконског</w:t>
      </w:r>
      <w:proofErr w:type="spellEnd"/>
      <w:r w:rsidRPr="00EE4FA1">
        <w:rPr>
          <w:rFonts w:ascii="Times New Roman" w:eastAsia="Calibri" w:hAnsi="Times New Roman" w:cs="Times New Roman"/>
          <w:sz w:val="24"/>
          <w:szCs w:val="24"/>
        </w:rPr>
        <w:t xml:space="preserve"> прописа којим се уређују основни захтеви за медицинска средства углавном се користе у трансфузији крви, за превенцију преношења HIV-а и одређених типова хепатитиса и захтевају оцењивање усаглашености које гарантује оптималан ниво сигурности и поузданости, јер морају да испуне заједничке техничке спецификације за њихову евалуацију перформанси и ре-евалуацију.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Прибор се сматра</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дијагностичким медицинским средством сам по себи. Зато се систем класификације прописан Прилог</w:t>
      </w:r>
      <w:r>
        <w:rPr>
          <w:rFonts w:ascii="Times New Roman" w:eastAsia="Calibri" w:hAnsi="Times New Roman" w:cs="Times New Roman"/>
          <w:sz w:val="24"/>
          <w:szCs w:val="24"/>
        </w:rPr>
        <w:t>ом</w:t>
      </w:r>
      <w:r w:rsidRPr="00EE4FA1">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 xml:space="preserve">Анекс II </w:t>
      </w:r>
      <w:proofErr w:type="spellStart"/>
      <w:r w:rsidRPr="00EE4FA1">
        <w:rPr>
          <w:rFonts w:ascii="Times New Roman" w:eastAsia="Calibri" w:hAnsi="Times New Roman" w:cs="Times New Roman"/>
          <w:sz w:val="24"/>
          <w:szCs w:val="24"/>
        </w:rPr>
        <w:t>подзаконског</w:t>
      </w:r>
      <w:proofErr w:type="spellEnd"/>
      <w:r w:rsidRPr="00EE4FA1">
        <w:rPr>
          <w:rFonts w:ascii="Times New Roman" w:eastAsia="Calibri" w:hAnsi="Times New Roman" w:cs="Times New Roman"/>
          <w:sz w:val="24"/>
          <w:szCs w:val="24"/>
        </w:rPr>
        <w:t xml:space="preserve"> прописа којим се уређују основни захтеви за медицинска средства једнако примењује и на прибор. </w:t>
      </w:r>
    </w:p>
    <w:p w:rsidR="00F84952" w:rsidRPr="00EE4FA1"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1.1. Тумачење Прилог</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Анекс II Лист</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А </w:t>
      </w:r>
      <w:proofErr w:type="spellStart"/>
      <w:r w:rsidRPr="00EE4FA1">
        <w:rPr>
          <w:rFonts w:ascii="Times New Roman" w:eastAsia="Calibri" w:hAnsi="Times New Roman" w:cs="Times New Roman"/>
          <w:sz w:val="24"/>
          <w:szCs w:val="24"/>
        </w:rPr>
        <w:t>подзаконског</w:t>
      </w:r>
      <w:proofErr w:type="spellEnd"/>
      <w:r w:rsidRPr="00EE4FA1">
        <w:rPr>
          <w:rFonts w:ascii="Times New Roman" w:eastAsia="Calibri" w:hAnsi="Times New Roman" w:cs="Times New Roman"/>
          <w:sz w:val="24"/>
          <w:szCs w:val="24"/>
        </w:rPr>
        <w:t xml:space="preserve"> прописа којим се уређују основни захтеви за медицинска средства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1.1.1. Тумачење израза ,,маркер </w:t>
      </w:r>
      <w:proofErr w:type="spellStart"/>
      <w:r w:rsidRPr="00EE4FA1">
        <w:rPr>
          <w:rFonts w:ascii="Times New Roman" w:eastAsia="Calibri" w:hAnsi="Times New Roman" w:cs="Times New Roman"/>
          <w:sz w:val="24"/>
          <w:szCs w:val="24"/>
        </w:rPr>
        <w:t>инфекцијеˮ</w:t>
      </w:r>
      <w:proofErr w:type="spellEnd"/>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Листа А Анекс II укључује ,,</w:t>
      </w:r>
      <w:proofErr w:type="spellStart"/>
      <w:r w:rsidRPr="00EE4FA1">
        <w:rPr>
          <w:rFonts w:ascii="Times New Roman" w:eastAsia="Calibri" w:hAnsi="Times New Roman" w:cs="Times New Roman"/>
          <w:sz w:val="24"/>
          <w:szCs w:val="24"/>
        </w:rPr>
        <w:t>реагенсе</w:t>
      </w:r>
      <w:proofErr w:type="spellEnd"/>
      <w:r w:rsidRPr="00EE4FA1">
        <w:rPr>
          <w:rFonts w:ascii="Times New Roman" w:eastAsia="Calibri" w:hAnsi="Times New Roman" w:cs="Times New Roman"/>
          <w:sz w:val="24"/>
          <w:szCs w:val="24"/>
        </w:rPr>
        <w:t xml:space="preserve"> и производе </w:t>
      </w:r>
      <w:proofErr w:type="spellStart"/>
      <w:r w:rsidRPr="00EE4FA1">
        <w:rPr>
          <w:rFonts w:ascii="Times New Roman" w:eastAsia="Calibri" w:hAnsi="Times New Roman" w:cs="Times New Roman"/>
          <w:sz w:val="24"/>
          <w:szCs w:val="24"/>
        </w:rPr>
        <w:t>реагенаса</w:t>
      </w:r>
      <w:proofErr w:type="spellEnd"/>
      <w:r w:rsidRPr="00EE4FA1">
        <w:rPr>
          <w:rFonts w:ascii="Times New Roman" w:eastAsia="Calibri" w:hAnsi="Times New Roman" w:cs="Times New Roman"/>
          <w:sz w:val="24"/>
          <w:szCs w:val="24"/>
        </w:rPr>
        <w:t xml:space="preserve"> укључујући повезане </w:t>
      </w:r>
      <w:proofErr w:type="spellStart"/>
      <w:r w:rsidRPr="00EE4FA1">
        <w:rPr>
          <w:rFonts w:ascii="Times New Roman" w:eastAsia="Calibri" w:hAnsi="Times New Roman" w:cs="Times New Roman"/>
          <w:sz w:val="24"/>
          <w:szCs w:val="24"/>
        </w:rPr>
        <w:t>калибраторе</w:t>
      </w:r>
      <w:proofErr w:type="spellEnd"/>
      <w:r w:rsidRPr="00EE4FA1">
        <w:rPr>
          <w:rFonts w:ascii="Times New Roman" w:eastAsia="Calibri" w:hAnsi="Times New Roman" w:cs="Times New Roman"/>
          <w:sz w:val="24"/>
          <w:szCs w:val="24"/>
        </w:rPr>
        <w:t xml:space="preserve"> и контролне материјале за </w:t>
      </w:r>
      <w:proofErr w:type="spellStart"/>
      <w:r w:rsidRPr="00EE4FA1">
        <w:rPr>
          <w:rFonts w:ascii="Times New Roman" w:eastAsia="Calibri" w:hAnsi="Times New Roman" w:cs="Times New Roman"/>
          <w:sz w:val="24"/>
          <w:szCs w:val="24"/>
        </w:rPr>
        <w:t>детекцију</w:t>
      </w:r>
      <w:proofErr w:type="spellEnd"/>
      <w:r w:rsidRPr="00EE4FA1">
        <w:rPr>
          <w:rFonts w:ascii="Times New Roman" w:eastAsia="Calibri" w:hAnsi="Times New Roman" w:cs="Times New Roman"/>
          <w:sz w:val="24"/>
          <w:szCs w:val="24"/>
        </w:rPr>
        <w:t xml:space="preserve">, потврду и </w:t>
      </w:r>
      <w:proofErr w:type="spellStart"/>
      <w:r w:rsidRPr="00EE4FA1">
        <w:rPr>
          <w:rFonts w:ascii="Times New Roman" w:eastAsia="Calibri" w:hAnsi="Times New Roman" w:cs="Times New Roman"/>
          <w:sz w:val="24"/>
          <w:szCs w:val="24"/>
        </w:rPr>
        <w:t>квантификацију</w:t>
      </w:r>
      <w:proofErr w:type="spellEnd"/>
      <w:r w:rsidRPr="00EE4FA1">
        <w:rPr>
          <w:rFonts w:ascii="Times New Roman" w:eastAsia="Calibri" w:hAnsi="Times New Roman" w:cs="Times New Roman"/>
          <w:sz w:val="24"/>
          <w:szCs w:val="24"/>
        </w:rPr>
        <w:t xml:space="preserve"> у хуманим узорцима маркера за HIV инфекције (HIV 1 i 2), HTLV I i II и хепатитис Б, Ц и </w:t>
      </w:r>
      <w:proofErr w:type="spellStart"/>
      <w:r w:rsidRPr="00EE4FA1">
        <w:rPr>
          <w:rFonts w:ascii="Times New Roman" w:eastAsia="Calibri" w:hAnsi="Times New Roman" w:cs="Times New Roman"/>
          <w:sz w:val="24"/>
          <w:szCs w:val="24"/>
        </w:rPr>
        <w:t>Дˮ</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Чини се неопходним разјаснити значење речи: ,,маркери </w:t>
      </w:r>
      <w:proofErr w:type="spellStart"/>
      <w:r w:rsidRPr="00EE4FA1">
        <w:rPr>
          <w:rFonts w:ascii="Times New Roman" w:eastAsia="Calibri" w:hAnsi="Times New Roman" w:cs="Times New Roman"/>
          <w:sz w:val="24"/>
          <w:szCs w:val="24"/>
        </w:rPr>
        <w:t>инфекцијаˮ</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lastRenderedPageBreak/>
        <w:t xml:space="preserve">,,Маркер </w:t>
      </w:r>
      <w:proofErr w:type="spellStart"/>
      <w:r w:rsidRPr="00EE4FA1">
        <w:rPr>
          <w:rFonts w:ascii="Times New Roman" w:eastAsia="Calibri" w:hAnsi="Times New Roman" w:cs="Times New Roman"/>
          <w:sz w:val="24"/>
          <w:szCs w:val="24"/>
        </w:rPr>
        <w:t>инфекцијаˮ</w:t>
      </w:r>
      <w:proofErr w:type="spellEnd"/>
      <w:r w:rsidRPr="00EE4FA1">
        <w:rPr>
          <w:rFonts w:ascii="Times New Roman" w:eastAsia="Calibri" w:hAnsi="Times New Roman" w:cs="Times New Roman"/>
          <w:sz w:val="24"/>
          <w:szCs w:val="24"/>
        </w:rPr>
        <w:t xml:space="preserve"> је супстанца која може да буде одређена, односно објективно мерена и индикатор је процеса инфективне болести. Циљни маркер може да буде биохемијски ентитет, генетички профил, </w:t>
      </w:r>
      <w:proofErr w:type="spellStart"/>
      <w:r w:rsidRPr="00EE4FA1">
        <w:rPr>
          <w:rFonts w:ascii="Times New Roman" w:eastAsia="Calibri" w:hAnsi="Times New Roman" w:cs="Times New Roman"/>
          <w:sz w:val="24"/>
          <w:szCs w:val="24"/>
        </w:rPr>
        <w:t>нуклеинска</w:t>
      </w:r>
      <w:proofErr w:type="spellEnd"/>
      <w:r w:rsidRPr="00EE4FA1">
        <w:rPr>
          <w:rFonts w:ascii="Times New Roman" w:eastAsia="Calibri" w:hAnsi="Times New Roman" w:cs="Times New Roman"/>
          <w:sz w:val="24"/>
          <w:szCs w:val="24"/>
        </w:rPr>
        <w:t xml:space="preserve"> киселина, </w:t>
      </w:r>
      <w:proofErr w:type="spellStart"/>
      <w:r w:rsidRPr="00EE4FA1">
        <w:rPr>
          <w:rFonts w:ascii="Times New Roman" w:eastAsia="Calibri" w:hAnsi="Times New Roman" w:cs="Times New Roman"/>
          <w:sz w:val="24"/>
          <w:szCs w:val="24"/>
        </w:rPr>
        <w:t>антиген</w:t>
      </w:r>
      <w:proofErr w:type="spellEnd"/>
      <w:r w:rsidRPr="00EE4FA1">
        <w:rPr>
          <w:rFonts w:ascii="Times New Roman" w:eastAsia="Calibri" w:hAnsi="Times New Roman" w:cs="Times New Roman"/>
          <w:sz w:val="24"/>
          <w:szCs w:val="24"/>
        </w:rPr>
        <w:t>, антитело, вирус, бактерија или друга супстанца.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1.1.2. Разјашњење ,,</w:t>
      </w:r>
      <w:proofErr w:type="spellStart"/>
      <w:r w:rsidRPr="00EE4FA1">
        <w:rPr>
          <w:rFonts w:ascii="Times New Roman" w:eastAsia="Calibri" w:hAnsi="Times New Roman" w:cs="Times New Roman"/>
          <w:sz w:val="24"/>
          <w:szCs w:val="24"/>
        </w:rPr>
        <w:t>реткеˮ</w:t>
      </w:r>
      <w:proofErr w:type="spellEnd"/>
      <w:r w:rsidRPr="00EE4FA1">
        <w:rPr>
          <w:rFonts w:ascii="Times New Roman" w:eastAsia="Calibri" w:hAnsi="Times New Roman" w:cs="Times New Roman"/>
          <w:sz w:val="24"/>
          <w:szCs w:val="24"/>
        </w:rPr>
        <w:t xml:space="preserve"> крвне групе и подгрупе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Анекс II Листа А укључује </w:t>
      </w:r>
      <w:proofErr w:type="spellStart"/>
      <w:r w:rsidRPr="00EE4FA1">
        <w:rPr>
          <w:rFonts w:ascii="Times New Roman" w:eastAsia="Calibri" w:hAnsi="Times New Roman" w:cs="Times New Roman"/>
          <w:sz w:val="24"/>
          <w:szCs w:val="24"/>
        </w:rPr>
        <w:t>реагенсе</w:t>
      </w:r>
      <w:proofErr w:type="spellEnd"/>
      <w:r w:rsidRPr="00EE4FA1">
        <w:rPr>
          <w:rFonts w:ascii="Times New Roman" w:eastAsia="Calibri" w:hAnsi="Times New Roman" w:cs="Times New Roman"/>
          <w:sz w:val="24"/>
          <w:szCs w:val="24"/>
        </w:rPr>
        <w:t xml:space="preserve"> за одређивање крвних група АБО система, </w:t>
      </w:r>
      <w:proofErr w:type="spellStart"/>
      <w:r w:rsidRPr="00EE4FA1">
        <w:rPr>
          <w:rFonts w:ascii="Times New Roman" w:eastAsia="Calibri" w:hAnsi="Times New Roman" w:cs="Times New Roman"/>
          <w:sz w:val="24"/>
          <w:szCs w:val="24"/>
        </w:rPr>
        <w:t>Резус</w:t>
      </w:r>
      <w:proofErr w:type="spellEnd"/>
      <w:r w:rsidRPr="00EE4FA1">
        <w:rPr>
          <w:rFonts w:ascii="Times New Roman" w:eastAsia="Calibri" w:hAnsi="Times New Roman" w:cs="Times New Roman"/>
          <w:sz w:val="24"/>
          <w:szCs w:val="24"/>
        </w:rPr>
        <w:t xml:space="preserve">-фактор </w:t>
      </w:r>
      <w:proofErr w:type="spellStart"/>
      <w:r w:rsidRPr="00EE4FA1">
        <w:rPr>
          <w:rFonts w:ascii="Times New Roman" w:eastAsia="Calibri" w:hAnsi="Times New Roman" w:cs="Times New Roman"/>
          <w:sz w:val="24"/>
          <w:szCs w:val="24"/>
        </w:rPr>
        <w:t>Rh</w:t>
      </w:r>
      <w:proofErr w:type="spellEnd"/>
      <w:r w:rsidRPr="00EE4FA1">
        <w:rPr>
          <w:rFonts w:ascii="Times New Roman" w:eastAsia="Calibri" w:hAnsi="Times New Roman" w:cs="Times New Roman"/>
          <w:sz w:val="24"/>
          <w:szCs w:val="24"/>
        </w:rPr>
        <w:t xml:space="preserve"> (C, c, D, E, e) и anti-</w:t>
      </w:r>
      <w:proofErr w:type="spellStart"/>
      <w:r w:rsidRPr="00EE4FA1">
        <w:rPr>
          <w:rFonts w:ascii="Times New Roman" w:eastAsia="Calibri" w:hAnsi="Times New Roman" w:cs="Times New Roman"/>
          <w:sz w:val="24"/>
          <w:szCs w:val="24"/>
        </w:rPr>
        <w:t>Kell</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Поставља се питање обима покривених медицинских средстава и </w:t>
      </w:r>
      <w:proofErr w:type="spellStart"/>
      <w:r w:rsidRPr="00EE4FA1">
        <w:rPr>
          <w:rFonts w:ascii="Times New Roman" w:eastAsia="Calibri" w:hAnsi="Times New Roman" w:cs="Times New Roman"/>
          <w:sz w:val="24"/>
          <w:szCs w:val="24"/>
        </w:rPr>
        <w:t>реагенаса</w:t>
      </w:r>
      <w:proofErr w:type="spellEnd"/>
      <w:r w:rsidRPr="00EE4FA1">
        <w:rPr>
          <w:rFonts w:ascii="Times New Roman" w:eastAsia="Calibri" w:hAnsi="Times New Roman" w:cs="Times New Roman"/>
          <w:sz w:val="24"/>
          <w:szCs w:val="24"/>
        </w:rPr>
        <w:t xml:space="preserve"> и посебно такозваних ,,</w:t>
      </w:r>
      <w:proofErr w:type="spellStart"/>
      <w:r w:rsidRPr="00EE4FA1">
        <w:rPr>
          <w:rFonts w:ascii="Times New Roman" w:eastAsia="Calibri" w:hAnsi="Times New Roman" w:cs="Times New Roman"/>
          <w:sz w:val="24"/>
          <w:szCs w:val="24"/>
        </w:rPr>
        <w:t>реткихˮ</w:t>
      </w:r>
      <w:proofErr w:type="spellEnd"/>
      <w:r w:rsidRPr="00EE4FA1">
        <w:rPr>
          <w:rFonts w:ascii="Times New Roman" w:eastAsia="Calibri" w:hAnsi="Times New Roman" w:cs="Times New Roman"/>
          <w:sz w:val="24"/>
          <w:szCs w:val="24"/>
        </w:rPr>
        <w:t xml:space="preserve"> крвних група и подгрупа. </w:t>
      </w:r>
    </w:p>
    <w:p w:rsidR="00F84952" w:rsidRPr="00EE4FA1" w:rsidRDefault="00F84952" w:rsidP="00F84952">
      <w:pPr>
        <w:jc w:val="both"/>
        <w:rPr>
          <w:rFonts w:ascii="Times New Roman" w:eastAsia="Calibri" w:hAnsi="Times New Roman" w:cs="Times New Roman"/>
          <w:b/>
          <w:sz w:val="24"/>
          <w:szCs w:val="24"/>
        </w:rPr>
      </w:pPr>
      <w:r w:rsidRPr="00EE4FA1">
        <w:rPr>
          <w:rFonts w:ascii="Times New Roman" w:eastAsia="Calibri" w:hAnsi="Times New Roman" w:cs="Times New Roman"/>
          <w:sz w:val="24"/>
          <w:szCs w:val="24"/>
        </w:rPr>
        <w:t>Листа А односи се на: ,,</w:t>
      </w:r>
      <w:proofErr w:type="spellStart"/>
      <w:r w:rsidRPr="00EE4FA1">
        <w:rPr>
          <w:rFonts w:ascii="Times New Roman" w:eastAsia="Calibri" w:hAnsi="Times New Roman" w:cs="Times New Roman"/>
          <w:noProof/>
          <w:sz w:val="24"/>
          <w:szCs w:val="24"/>
        </w:rPr>
        <w:t>Р</w:t>
      </w:r>
      <w:r w:rsidRPr="00EE4FA1">
        <w:rPr>
          <w:rFonts w:ascii="Times New Roman" w:eastAsia="Calibri" w:hAnsi="Times New Roman" w:cs="Times New Roman"/>
          <w:sz w:val="24"/>
          <w:szCs w:val="24"/>
        </w:rPr>
        <w:t>еагенсе</w:t>
      </w:r>
      <w:proofErr w:type="spellEnd"/>
      <w:r w:rsidRPr="00EE4FA1">
        <w:rPr>
          <w:rFonts w:ascii="Times New Roman" w:eastAsia="Calibri" w:hAnsi="Times New Roman" w:cs="Times New Roman"/>
          <w:sz w:val="24"/>
          <w:szCs w:val="24"/>
        </w:rPr>
        <w:t xml:space="preserve"> и производе </w:t>
      </w:r>
      <w:proofErr w:type="spellStart"/>
      <w:r w:rsidRPr="00EE4FA1">
        <w:rPr>
          <w:rFonts w:ascii="Times New Roman" w:eastAsia="Calibri" w:hAnsi="Times New Roman" w:cs="Times New Roman"/>
          <w:sz w:val="24"/>
          <w:szCs w:val="24"/>
        </w:rPr>
        <w:t>реагенаса</w:t>
      </w:r>
      <w:proofErr w:type="spellEnd"/>
      <w:r w:rsidRPr="00EE4FA1">
        <w:rPr>
          <w:rFonts w:ascii="Times New Roman" w:eastAsia="Calibri" w:hAnsi="Times New Roman" w:cs="Times New Roman"/>
          <w:sz w:val="24"/>
          <w:szCs w:val="24"/>
        </w:rPr>
        <w:t xml:space="preserve"> укључујући повезане </w:t>
      </w:r>
      <w:proofErr w:type="spellStart"/>
      <w:r w:rsidRPr="00EE4FA1">
        <w:rPr>
          <w:rFonts w:ascii="Times New Roman" w:eastAsia="Calibri" w:hAnsi="Times New Roman" w:cs="Times New Roman"/>
          <w:sz w:val="24"/>
          <w:szCs w:val="24"/>
        </w:rPr>
        <w:t>калибраторе</w:t>
      </w:r>
      <w:proofErr w:type="spellEnd"/>
      <w:r w:rsidRPr="00EE4FA1">
        <w:rPr>
          <w:rFonts w:ascii="Times New Roman" w:eastAsia="Calibri" w:hAnsi="Times New Roman" w:cs="Times New Roman"/>
          <w:sz w:val="24"/>
          <w:szCs w:val="24"/>
        </w:rPr>
        <w:t xml:space="preserve"> и контролне материјале за одређивање следећих крвних група: АБО систем, </w:t>
      </w:r>
      <w:proofErr w:type="spellStart"/>
      <w:r w:rsidRPr="00EE4FA1">
        <w:rPr>
          <w:rFonts w:ascii="Times New Roman" w:eastAsia="Calibri" w:hAnsi="Times New Roman" w:cs="Times New Roman"/>
          <w:sz w:val="24"/>
          <w:szCs w:val="24"/>
        </w:rPr>
        <w:t>Резус</w:t>
      </w:r>
      <w:proofErr w:type="spellEnd"/>
      <w:r w:rsidRPr="00EE4FA1">
        <w:rPr>
          <w:rFonts w:ascii="Times New Roman" w:eastAsia="Calibri" w:hAnsi="Times New Roman" w:cs="Times New Roman"/>
          <w:sz w:val="24"/>
          <w:szCs w:val="24"/>
        </w:rPr>
        <w:t xml:space="preserve">-фактор </w:t>
      </w:r>
      <w:proofErr w:type="spellStart"/>
      <w:r w:rsidRPr="00EE4FA1">
        <w:rPr>
          <w:rFonts w:ascii="Times New Roman" w:eastAsia="Calibri" w:hAnsi="Times New Roman" w:cs="Times New Roman"/>
          <w:sz w:val="24"/>
          <w:szCs w:val="24"/>
        </w:rPr>
        <w:t>Rh</w:t>
      </w:r>
      <w:proofErr w:type="spellEnd"/>
      <w:r w:rsidRPr="00EE4FA1">
        <w:rPr>
          <w:rFonts w:ascii="Times New Roman" w:eastAsia="Calibri" w:hAnsi="Times New Roman" w:cs="Times New Roman"/>
          <w:sz w:val="24"/>
          <w:szCs w:val="24"/>
        </w:rPr>
        <w:t xml:space="preserve"> (C, c, D, E, e) и anti-</w:t>
      </w:r>
      <w:proofErr w:type="spellStart"/>
      <w:r w:rsidRPr="00EE4FA1">
        <w:rPr>
          <w:rFonts w:ascii="Times New Roman" w:eastAsia="Calibri" w:hAnsi="Times New Roman" w:cs="Times New Roman"/>
          <w:sz w:val="24"/>
          <w:szCs w:val="24"/>
        </w:rPr>
        <w:t>Kell</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Употреба речи: ,,</w:t>
      </w:r>
      <w:proofErr w:type="spellStart"/>
      <w:r w:rsidRPr="00EE4FA1">
        <w:rPr>
          <w:rFonts w:ascii="Times New Roman" w:eastAsia="Calibri" w:hAnsi="Times New Roman" w:cs="Times New Roman"/>
          <w:sz w:val="24"/>
          <w:szCs w:val="24"/>
        </w:rPr>
        <w:t>системˮ</w:t>
      </w:r>
      <w:proofErr w:type="spellEnd"/>
      <w:r w:rsidRPr="00EE4FA1">
        <w:rPr>
          <w:rFonts w:ascii="Times New Roman" w:eastAsia="Calibri" w:hAnsi="Times New Roman" w:cs="Times New Roman"/>
          <w:sz w:val="24"/>
          <w:szCs w:val="24"/>
        </w:rPr>
        <w:t xml:space="preserve"> може да доведе до забуне.</w:t>
      </w:r>
    </w:p>
    <w:p w:rsidR="00F84952"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Табела у наставку дефинише </w:t>
      </w:r>
      <w:proofErr w:type="spellStart"/>
      <w:r w:rsidRPr="00EE4FA1">
        <w:rPr>
          <w:rFonts w:ascii="Times New Roman" w:eastAsia="Calibri" w:hAnsi="Times New Roman" w:cs="Times New Roman"/>
          <w:sz w:val="24"/>
          <w:szCs w:val="24"/>
        </w:rPr>
        <w:t>реагенсе</w:t>
      </w:r>
      <w:proofErr w:type="spellEnd"/>
      <w:r w:rsidRPr="00EE4FA1">
        <w:rPr>
          <w:rFonts w:ascii="Times New Roman" w:eastAsia="Calibri" w:hAnsi="Times New Roman" w:cs="Times New Roman"/>
          <w:sz w:val="24"/>
          <w:szCs w:val="24"/>
        </w:rPr>
        <w:t xml:space="preserve"> и медицинска средства који су укључени у Анекс II Листа А. </w:t>
      </w:r>
      <w:r>
        <w:rPr>
          <w:rFonts w:ascii="Times New Roman" w:eastAsia="Calibri" w:hAnsi="Times New Roman" w:cs="Times New Roman"/>
          <w:sz w:val="24"/>
          <w:szCs w:val="24"/>
        </w:rPr>
        <w:t>Т</w:t>
      </w:r>
      <w:r w:rsidRPr="00EE4FA1">
        <w:rPr>
          <w:rFonts w:ascii="Times New Roman" w:eastAsia="Calibri" w:hAnsi="Times New Roman" w:cs="Times New Roman"/>
          <w:sz w:val="24"/>
          <w:szCs w:val="24"/>
        </w:rPr>
        <w:t xml:space="preserve">и </w:t>
      </w:r>
      <w:proofErr w:type="spellStart"/>
      <w:r w:rsidRPr="00EE4FA1">
        <w:rPr>
          <w:rFonts w:ascii="Times New Roman" w:eastAsia="Calibri" w:hAnsi="Times New Roman" w:cs="Times New Roman"/>
          <w:sz w:val="24"/>
          <w:szCs w:val="24"/>
        </w:rPr>
        <w:t>реагенси</w:t>
      </w:r>
      <w:proofErr w:type="spellEnd"/>
      <w:r w:rsidRPr="00EE4FA1">
        <w:rPr>
          <w:rFonts w:ascii="Times New Roman" w:eastAsia="Calibri" w:hAnsi="Times New Roman" w:cs="Times New Roman"/>
          <w:sz w:val="24"/>
          <w:szCs w:val="24"/>
        </w:rPr>
        <w:t xml:space="preserve"> се употребљавају за рутинско одређивање AБO, </w:t>
      </w:r>
      <w:proofErr w:type="spellStart"/>
      <w:r w:rsidRPr="00EE4FA1">
        <w:rPr>
          <w:rFonts w:ascii="Times New Roman" w:eastAsia="Calibri" w:hAnsi="Times New Roman" w:cs="Times New Roman"/>
          <w:sz w:val="24"/>
          <w:szCs w:val="24"/>
        </w:rPr>
        <w:t>Rh</w:t>
      </w:r>
      <w:proofErr w:type="spellEnd"/>
      <w:r w:rsidRPr="00EE4FA1">
        <w:rPr>
          <w:rFonts w:ascii="Times New Roman" w:eastAsia="Calibri" w:hAnsi="Times New Roman" w:cs="Times New Roman"/>
          <w:sz w:val="24"/>
          <w:szCs w:val="24"/>
        </w:rPr>
        <w:t xml:space="preserve"> и K типова.</w:t>
      </w:r>
    </w:p>
    <w:p w:rsidR="00F84952" w:rsidRPr="00EE4FA1" w:rsidRDefault="00F84952" w:rsidP="00F84952">
      <w:pPr>
        <w:jc w:val="both"/>
        <w:rPr>
          <w:rFonts w:ascii="Times New Roman" w:eastAsia="Calibri" w:hAnsi="Times New Roman" w:cs="Times New Roman"/>
          <w:sz w:val="24"/>
          <w:szCs w:val="24"/>
        </w:rPr>
      </w:pPr>
    </w:p>
    <w:tbl>
      <w:tblPr>
        <w:tblStyle w:val="TableGrid1"/>
        <w:tblW w:w="0" w:type="auto"/>
        <w:tblInd w:w="0" w:type="dxa"/>
        <w:tblLook w:val="04A0" w:firstRow="1" w:lastRow="0" w:firstColumn="1" w:lastColumn="0" w:noHBand="0" w:noVBand="1"/>
      </w:tblPr>
      <w:tblGrid>
        <w:gridCol w:w="3510"/>
        <w:gridCol w:w="2870"/>
        <w:gridCol w:w="3190"/>
      </w:tblGrid>
      <w:tr w:rsidR="00F84952" w:rsidRPr="00EE4FA1" w:rsidTr="00D3547E">
        <w:tc>
          <w:tcPr>
            <w:tcW w:w="351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color w:val="000000" w:themeColor="text1"/>
                <w:sz w:val="24"/>
                <w:szCs w:val="24"/>
              </w:rPr>
            </w:pPr>
            <w:r w:rsidRPr="00EE4FA1">
              <w:rPr>
                <w:rFonts w:ascii="Times New Roman" w:hAnsi="Times New Roman"/>
                <w:b/>
                <w:color w:val="000000" w:themeColor="text1"/>
                <w:sz w:val="24"/>
                <w:szCs w:val="24"/>
              </w:rPr>
              <w:t xml:space="preserve">ТАБЕЛА 1 – </w:t>
            </w:r>
            <w:proofErr w:type="spellStart"/>
            <w:r w:rsidRPr="00EE4FA1">
              <w:rPr>
                <w:rFonts w:ascii="Times New Roman" w:hAnsi="Times New Roman"/>
                <w:b/>
                <w:color w:val="000000" w:themeColor="text1"/>
                <w:sz w:val="24"/>
                <w:szCs w:val="24"/>
              </w:rPr>
              <w:t>Реагенси</w:t>
            </w:r>
            <w:proofErr w:type="spellEnd"/>
            <w:r w:rsidRPr="00EE4FA1">
              <w:rPr>
                <w:rFonts w:ascii="Times New Roman" w:hAnsi="Times New Roman"/>
                <w:b/>
                <w:color w:val="000000" w:themeColor="text1"/>
                <w:sz w:val="24"/>
                <w:szCs w:val="24"/>
              </w:rPr>
              <w:t xml:space="preserve"> покривени Анексом II Листа А - Терминологија</w:t>
            </w:r>
          </w:p>
        </w:tc>
        <w:tc>
          <w:tcPr>
            <w:tcW w:w="287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color w:val="000000" w:themeColor="text1"/>
                <w:sz w:val="24"/>
                <w:szCs w:val="24"/>
              </w:rPr>
            </w:pPr>
            <w:proofErr w:type="spellStart"/>
            <w:r w:rsidRPr="00EE4FA1">
              <w:rPr>
                <w:rFonts w:ascii="Times New Roman" w:hAnsi="Times New Roman"/>
                <w:b/>
                <w:color w:val="000000" w:themeColor="text1"/>
                <w:sz w:val="24"/>
                <w:szCs w:val="24"/>
              </w:rPr>
              <w:t>Реагенси</w:t>
            </w:r>
            <w:proofErr w:type="spellEnd"/>
            <w:r w:rsidRPr="00EE4FA1">
              <w:rPr>
                <w:rFonts w:ascii="Times New Roman" w:hAnsi="Times New Roman"/>
                <w:b/>
                <w:color w:val="000000" w:themeColor="text1"/>
                <w:sz w:val="24"/>
                <w:szCs w:val="24"/>
              </w:rPr>
              <w:t xml:space="preserve"> и медицинска средства који су обухваћени*</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b/>
                <w:color w:val="000000" w:themeColor="text1"/>
                <w:sz w:val="24"/>
                <w:szCs w:val="24"/>
              </w:rPr>
            </w:pPr>
            <w:r w:rsidRPr="00EE4FA1">
              <w:rPr>
                <w:rFonts w:ascii="Times New Roman" w:hAnsi="Times New Roman"/>
                <w:b/>
                <w:color w:val="000000" w:themeColor="text1"/>
                <w:sz w:val="24"/>
                <w:szCs w:val="24"/>
              </w:rPr>
              <w:t xml:space="preserve">Одговарајући </w:t>
            </w:r>
            <w:proofErr w:type="spellStart"/>
            <w:r w:rsidRPr="00EE4FA1">
              <w:rPr>
                <w:rFonts w:ascii="Times New Roman" w:hAnsi="Times New Roman"/>
                <w:b/>
                <w:color w:val="000000" w:themeColor="text1"/>
                <w:sz w:val="24"/>
                <w:szCs w:val="24"/>
              </w:rPr>
              <w:t>антиген</w:t>
            </w:r>
            <w:proofErr w:type="spellEnd"/>
            <w:r w:rsidRPr="00EE4FA1">
              <w:rPr>
                <w:rFonts w:ascii="Times New Roman" w:hAnsi="Times New Roman"/>
                <w:b/>
                <w:color w:val="000000" w:themeColor="text1"/>
                <w:sz w:val="24"/>
                <w:szCs w:val="24"/>
              </w:rPr>
              <w:t xml:space="preserve"> – ИСБТ </w:t>
            </w:r>
            <w:proofErr w:type="spellStart"/>
            <w:r w:rsidRPr="00EE4FA1">
              <w:rPr>
                <w:rFonts w:ascii="Times New Roman" w:hAnsi="Times New Roman"/>
                <w:b/>
                <w:color w:val="000000" w:themeColor="text1"/>
                <w:sz w:val="24"/>
                <w:szCs w:val="24"/>
              </w:rPr>
              <w:t>номенкалатура</w:t>
            </w:r>
            <w:proofErr w:type="spellEnd"/>
          </w:p>
        </w:tc>
      </w:tr>
      <w:tr w:rsidR="00F84952" w:rsidRPr="00EE4FA1" w:rsidTr="00D3547E">
        <w:tc>
          <w:tcPr>
            <w:tcW w:w="351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АБО Систем</w:t>
            </w:r>
          </w:p>
        </w:tc>
        <w:tc>
          <w:tcPr>
            <w:tcW w:w="287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Anti-A</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Anti-Б</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 xml:space="preserve">   Anti-AБ</w:t>
            </w:r>
          </w:p>
          <w:p w:rsidR="00F84952" w:rsidRPr="00EE4FA1" w:rsidRDefault="00F84952" w:rsidP="00D3547E">
            <w:pPr>
              <w:jc w:val="center"/>
              <w:rPr>
                <w:rFonts w:ascii="Times New Roman" w:hAnsi="Times New Roman"/>
                <w:color w:val="000000" w:themeColor="text1"/>
                <w:sz w:val="24"/>
                <w:szCs w:val="24"/>
              </w:rPr>
            </w:pPr>
            <w:proofErr w:type="spellStart"/>
            <w:r w:rsidRPr="00EE4FA1">
              <w:rPr>
                <w:rFonts w:ascii="Times New Roman" w:hAnsi="Times New Roman"/>
                <w:sz w:val="24"/>
                <w:szCs w:val="24"/>
              </w:rPr>
              <w:t>реагенси</w:t>
            </w:r>
            <w:proofErr w:type="spellEnd"/>
            <w:r w:rsidRPr="00EE4FA1">
              <w:rPr>
                <w:rFonts w:ascii="Times New Roman" w:hAnsi="Times New Roman"/>
                <w:sz w:val="24"/>
                <w:szCs w:val="24"/>
              </w:rPr>
              <w:t xml:space="preserve"> </w:t>
            </w:r>
            <w:proofErr w:type="spellStart"/>
            <w:r w:rsidRPr="00EE4FA1">
              <w:rPr>
                <w:rFonts w:ascii="Times New Roman" w:hAnsi="Times New Roman"/>
                <w:sz w:val="24"/>
                <w:szCs w:val="24"/>
              </w:rPr>
              <w:t>еритроцита</w:t>
            </w:r>
            <w:proofErr w:type="spellEnd"/>
            <w:r w:rsidRPr="00EE4FA1">
              <w:rPr>
                <w:rFonts w:ascii="Times New Roman" w:hAnsi="Times New Roman"/>
                <w:sz w:val="24"/>
                <w:szCs w:val="24"/>
              </w:rPr>
              <w:t xml:space="preserve"> за </w:t>
            </w:r>
            <w:proofErr w:type="spellStart"/>
            <w:r w:rsidRPr="00EE4FA1">
              <w:rPr>
                <w:rFonts w:ascii="Times New Roman" w:hAnsi="Times New Roman"/>
                <w:sz w:val="24"/>
                <w:szCs w:val="24"/>
              </w:rPr>
              <w:t>реверзно</w:t>
            </w:r>
            <w:proofErr w:type="spellEnd"/>
            <w:r w:rsidRPr="00EE4FA1">
              <w:rPr>
                <w:rFonts w:ascii="Times New Roman" w:hAnsi="Times New Roman"/>
                <w:sz w:val="24"/>
                <w:szCs w:val="24"/>
              </w:rPr>
              <w:t xml:space="preserve"> одређивање групе</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AБO1</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AБO2</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AБO1,AБO2</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Није релевантно</w:t>
            </w:r>
          </w:p>
        </w:tc>
      </w:tr>
      <w:tr w:rsidR="00F84952" w:rsidRPr="00EE4FA1" w:rsidTr="00D3547E">
        <w:tc>
          <w:tcPr>
            <w:tcW w:w="351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color w:val="000000" w:themeColor="text1"/>
                <w:sz w:val="24"/>
                <w:szCs w:val="24"/>
              </w:rPr>
            </w:pPr>
            <w:proofErr w:type="spellStart"/>
            <w:r w:rsidRPr="00EE4FA1">
              <w:rPr>
                <w:rFonts w:ascii="Times New Roman" w:hAnsi="Times New Roman"/>
                <w:color w:val="000000" w:themeColor="text1"/>
                <w:sz w:val="24"/>
                <w:szCs w:val="24"/>
              </w:rPr>
              <w:t>Резус</w:t>
            </w:r>
            <w:proofErr w:type="spellEnd"/>
            <w:r w:rsidRPr="00EE4FA1">
              <w:rPr>
                <w:rFonts w:ascii="Times New Roman" w:hAnsi="Times New Roman"/>
                <w:color w:val="000000" w:themeColor="text1"/>
                <w:sz w:val="24"/>
                <w:szCs w:val="24"/>
              </w:rPr>
              <w:t>-фактор</w:t>
            </w:r>
            <w:r w:rsidRPr="00EE4FA1">
              <w:rPr>
                <w:color w:val="000000" w:themeColor="text1"/>
              </w:rPr>
              <w:t xml:space="preserve"> </w:t>
            </w:r>
            <w:r w:rsidRPr="00EE4FA1">
              <w:rPr>
                <w:rFonts w:ascii="Times New Roman" w:hAnsi="Times New Roman"/>
                <w:color w:val="000000" w:themeColor="text1"/>
                <w:sz w:val="24"/>
                <w:szCs w:val="24"/>
              </w:rPr>
              <w:t>(C, c, D, E, e)</w:t>
            </w:r>
          </w:p>
        </w:tc>
        <w:tc>
          <w:tcPr>
            <w:tcW w:w="287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Anti-D</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Anti-C</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Anti-E</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Anti-c</w:t>
            </w:r>
          </w:p>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Anti-e</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ind w:hanging="1"/>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 xml:space="preserve">RH1 </w:t>
            </w:r>
          </w:p>
          <w:p w:rsidR="00F84952" w:rsidRPr="00EE4FA1" w:rsidRDefault="00F84952" w:rsidP="00D3547E">
            <w:pPr>
              <w:ind w:hanging="1"/>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RH2</w:t>
            </w:r>
          </w:p>
          <w:p w:rsidR="00F84952" w:rsidRPr="00EE4FA1" w:rsidRDefault="00F84952" w:rsidP="00D3547E">
            <w:pPr>
              <w:ind w:hanging="1"/>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 xml:space="preserve">RH3  </w:t>
            </w:r>
          </w:p>
          <w:p w:rsidR="00F84952" w:rsidRPr="00EE4FA1" w:rsidRDefault="00F84952" w:rsidP="00D3547E">
            <w:pPr>
              <w:ind w:hanging="1"/>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 xml:space="preserve">RH4  </w:t>
            </w:r>
          </w:p>
          <w:p w:rsidR="00F84952" w:rsidRPr="00EE4FA1" w:rsidRDefault="00F84952" w:rsidP="00D3547E">
            <w:pPr>
              <w:ind w:hanging="1"/>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RH5</w:t>
            </w:r>
          </w:p>
        </w:tc>
      </w:tr>
      <w:tr w:rsidR="00F84952" w:rsidRPr="00EE4FA1" w:rsidTr="00D3547E">
        <w:tc>
          <w:tcPr>
            <w:tcW w:w="351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Аnti-</w:t>
            </w:r>
            <w:proofErr w:type="spellStart"/>
            <w:r w:rsidRPr="00EE4FA1">
              <w:rPr>
                <w:rFonts w:ascii="Times New Roman" w:hAnsi="Times New Roman"/>
                <w:color w:val="000000" w:themeColor="text1"/>
                <w:sz w:val="24"/>
                <w:szCs w:val="24"/>
              </w:rPr>
              <w:t>Kell</w:t>
            </w:r>
            <w:proofErr w:type="spellEnd"/>
          </w:p>
        </w:tc>
        <w:tc>
          <w:tcPr>
            <w:tcW w:w="287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Anti-K</w:t>
            </w:r>
          </w:p>
        </w:tc>
        <w:tc>
          <w:tcPr>
            <w:tcW w:w="3190" w:type="dxa"/>
            <w:tcBorders>
              <w:top w:val="single" w:sz="4" w:space="0" w:color="auto"/>
              <w:left w:val="single" w:sz="4" w:space="0" w:color="auto"/>
              <w:bottom w:val="single" w:sz="4" w:space="0" w:color="auto"/>
              <w:right w:val="single" w:sz="4" w:space="0" w:color="auto"/>
            </w:tcBorders>
            <w:hideMark/>
          </w:tcPr>
          <w:p w:rsidR="00F84952" w:rsidRPr="00EE4FA1" w:rsidRDefault="00F84952" w:rsidP="00D3547E">
            <w:pPr>
              <w:jc w:val="center"/>
              <w:rPr>
                <w:rFonts w:ascii="Times New Roman" w:hAnsi="Times New Roman"/>
                <w:color w:val="000000" w:themeColor="text1"/>
                <w:sz w:val="24"/>
                <w:szCs w:val="24"/>
              </w:rPr>
            </w:pPr>
            <w:r w:rsidRPr="00EE4FA1">
              <w:rPr>
                <w:rFonts w:ascii="Times New Roman" w:hAnsi="Times New Roman"/>
                <w:color w:val="000000" w:themeColor="text1"/>
                <w:sz w:val="24"/>
                <w:szCs w:val="24"/>
              </w:rPr>
              <w:t>К1</w:t>
            </w:r>
          </w:p>
        </w:tc>
      </w:tr>
    </w:tbl>
    <w:p w:rsidR="00F84952" w:rsidRDefault="00F84952" w:rsidP="00F84952">
      <w:pPr>
        <w:pStyle w:val="NoSpacing"/>
      </w:pP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Реагенси</w:t>
      </w:r>
      <w:proofErr w:type="spellEnd"/>
      <w:r w:rsidRPr="00EE4FA1">
        <w:rPr>
          <w:rFonts w:ascii="Times New Roman" w:eastAsia="Calibri" w:hAnsi="Times New Roman" w:cs="Times New Roman"/>
          <w:sz w:val="24"/>
          <w:szCs w:val="24"/>
        </w:rPr>
        <w:t xml:space="preserve"> и медицинска средства који су обухваћени: ова колона односи се само на називе маркера заснованих на антитело/</w:t>
      </w:r>
      <w:proofErr w:type="spellStart"/>
      <w:r w:rsidRPr="00EE4FA1">
        <w:rPr>
          <w:rFonts w:ascii="Times New Roman" w:eastAsia="Calibri" w:hAnsi="Times New Roman" w:cs="Times New Roman"/>
          <w:sz w:val="24"/>
          <w:szCs w:val="24"/>
        </w:rPr>
        <w:t>антиген</w:t>
      </w:r>
      <w:proofErr w:type="spellEnd"/>
      <w:r w:rsidRPr="00EE4FA1">
        <w:rPr>
          <w:rFonts w:ascii="Times New Roman" w:eastAsia="Calibri" w:hAnsi="Times New Roman" w:cs="Times New Roman"/>
          <w:sz w:val="24"/>
          <w:szCs w:val="24"/>
        </w:rPr>
        <w:t xml:space="preserve"> тестовима и не значи искључивање медицинских средстава која примењују друге технологије за одређивање АБО система, </w:t>
      </w:r>
      <w:proofErr w:type="spellStart"/>
      <w:r w:rsidRPr="00EE4FA1">
        <w:rPr>
          <w:rFonts w:ascii="Times New Roman" w:eastAsia="Calibri" w:hAnsi="Times New Roman" w:cs="Times New Roman"/>
          <w:sz w:val="24"/>
          <w:szCs w:val="24"/>
        </w:rPr>
        <w:t>Резус</w:t>
      </w:r>
      <w:proofErr w:type="spellEnd"/>
      <w:r w:rsidRPr="00EE4FA1">
        <w:rPr>
          <w:rFonts w:ascii="Times New Roman" w:eastAsia="Calibri" w:hAnsi="Times New Roman" w:cs="Times New Roman"/>
          <w:sz w:val="24"/>
          <w:szCs w:val="24"/>
        </w:rPr>
        <w:t>-фактор (C, c, D, E, e) и Аnti-</w:t>
      </w:r>
      <w:proofErr w:type="spellStart"/>
      <w:r w:rsidRPr="00EE4FA1">
        <w:rPr>
          <w:rFonts w:ascii="Times New Roman" w:eastAsia="Calibri" w:hAnsi="Times New Roman" w:cs="Times New Roman"/>
          <w:sz w:val="24"/>
          <w:szCs w:val="24"/>
        </w:rPr>
        <w:t>Kell</w:t>
      </w:r>
      <w:proofErr w:type="spellEnd"/>
      <w:r w:rsidRPr="00EE4FA1">
        <w:rPr>
          <w:rFonts w:ascii="Times New Roman" w:eastAsia="Calibri" w:hAnsi="Times New Roman" w:cs="Times New Roman"/>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Други </w:t>
      </w:r>
      <w:proofErr w:type="spellStart"/>
      <w:r w:rsidRPr="00EE4FA1">
        <w:rPr>
          <w:rFonts w:ascii="Times New Roman" w:eastAsia="Calibri" w:hAnsi="Times New Roman" w:cs="Times New Roman"/>
          <w:sz w:val="24"/>
          <w:szCs w:val="24"/>
        </w:rPr>
        <w:t>антигени</w:t>
      </w:r>
      <w:proofErr w:type="spellEnd"/>
      <w:r w:rsidRPr="00EE4FA1">
        <w:rPr>
          <w:rFonts w:ascii="Times New Roman" w:eastAsia="Calibri" w:hAnsi="Times New Roman" w:cs="Times New Roman"/>
          <w:sz w:val="24"/>
          <w:szCs w:val="24"/>
        </w:rPr>
        <w:t xml:space="preserve">, подгрупе и варијације ових система су од малог значаја у трансфузији. Зато </w:t>
      </w:r>
      <w:proofErr w:type="spellStart"/>
      <w:r w:rsidRPr="00EE4FA1">
        <w:rPr>
          <w:rFonts w:ascii="Times New Roman" w:eastAsia="Calibri" w:hAnsi="Times New Roman" w:cs="Times New Roman"/>
          <w:sz w:val="24"/>
          <w:szCs w:val="24"/>
        </w:rPr>
        <w:t>реагенси</w:t>
      </w:r>
      <w:proofErr w:type="spellEnd"/>
      <w:r w:rsidRPr="00EE4FA1">
        <w:rPr>
          <w:rFonts w:ascii="Times New Roman" w:eastAsia="Calibri" w:hAnsi="Times New Roman" w:cs="Times New Roman"/>
          <w:sz w:val="24"/>
          <w:szCs w:val="24"/>
        </w:rPr>
        <w:t xml:space="preserve"> за карактеризацију ових </w:t>
      </w:r>
      <w:proofErr w:type="spellStart"/>
      <w:r w:rsidRPr="00EE4FA1">
        <w:rPr>
          <w:rFonts w:ascii="Times New Roman" w:eastAsia="Calibri" w:hAnsi="Times New Roman" w:cs="Times New Roman"/>
          <w:sz w:val="24"/>
          <w:szCs w:val="24"/>
        </w:rPr>
        <w:t>антигена</w:t>
      </w:r>
      <w:proofErr w:type="spellEnd"/>
      <w:r w:rsidRPr="00EE4FA1">
        <w:rPr>
          <w:rFonts w:ascii="Times New Roman" w:eastAsia="Calibri" w:hAnsi="Times New Roman" w:cs="Times New Roman"/>
          <w:sz w:val="24"/>
          <w:szCs w:val="24"/>
        </w:rPr>
        <w:t xml:space="preserve"> нису укључени у Анекс II. </w:t>
      </w:r>
      <w:proofErr w:type="spellStart"/>
      <w:r w:rsidRPr="00EE4FA1">
        <w:rPr>
          <w:rFonts w:ascii="Times New Roman" w:eastAsia="Calibri" w:hAnsi="Times New Roman" w:cs="Times New Roman"/>
          <w:sz w:val="24"/>
          <w:szCs w:val="24"/>
        </w:rPr>
        <w:t>Реагенси</w:t>
      </w:r>
      <w:proofErr w:type="spellEnd"/>
      <w:r w:rsidRPr="00EE4FA1">
        <w:rPr>
          <w:rFonts w:ascii="Times New Roman" w:eastAsia="Calibri" w:hAnsi="Times New Roman" w:cs="Times New Roman"/>
          <w:sz w:val="24"/>
          <w:szCs w:val="24"/>
        </w:rPr>
        <w:t>/медицинска средства за груписање крви који нису наведени у Анексу II регулисани су као остала</w:t>
      </w:r>
      <w:r w:rsidRPr="00EE4FA1">
        <w:rPr>
          <w:rFonts w:ascii="Times New Roman" w:eastAsia="Calibri" w:hAnsi="Times New Roman" w:cs="Times New Roman"/>
          <w:i/>
          <w:sz w:val="24"/>
          <w:szCs w:val="24"/>
        </w:rPr>
        <w:t xml:space="preserve"> 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lastRenderedPageBreak/>
        <w:t xml:space="preserve"> 1.2. Тумачење Анекса II, Листа Б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 1.2.1. Класификација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дијагностичких медицинских средстава за </w:t>
      </w:r>
      <w:proofErr w:type="spellStart"/>
      <w:r w:rsidRPr="00EE4FA1">
        <w:rPr>
          <w:rFonts w:ascii="Times New Roman" w:eastAsia="Calibri" w:hAnsi="Times New Roman" w:cs="Times New Roman"/>
          <w:sz w:val="24"/>
          <w:szCs w:val="24"/>
        </w:rPr>
        <w:t>детекцију</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хламидије</w:t>
      </w:r>
      <w:proofErr w:type="spellEnd"/>
      <w:r w:rsidRPr="00EE4FA1">
        <w:rPr>
          <w:rFonts w:ascii="Times New Roman" w:eastAsia="Calibri" w:hAnsi="Times New Roman" w:cs="Times New Roman"/>
          <w:sz w:val="24"/>
          <w:szCs w:val="24"/>
        </w:rPr>
        <w:t xml:space="preserve"> </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Анекс II Листа Б упућује на </w:t>
      </w:r>
      <w:proofErr w:type="spellStart"/>
      <w:r w:rsidRPr="00EE4FA1">
        <w:rPr>
          <w:rFonts w:ascii="Times New Roman" w:eastAsia="Calibri" w:hAnsi="Times New Roman" w:cs="Times New Roman"/>
          <w:sz w:val="24"/>
          <w:szCs w:val="24"/>
        </w:rPr>
        <w:t>хламидију</w:t>
      </w:r>
      <w:proofErr w:type="spellEnd"/>
      <w:r w:rsidRPr="00EE4FA1">
        <w:rPr>
          <w:rFonts w:ascii="Times New Roman" w:eastAsia="Calibri" w:hAnsi="Times New Roman" w:cs="Times New Roman"/>
          <w:sz w:val="24"/>
          <w:szCs w:val="24"/>
        </w:rPr>
        <w:t xml:space="preserve"> као на хуман</w:t>
      </w:r>
      <w:r>
        <w:rPr>
          <w:rFonts w:ascii="Times New Roman" w:eastAsia="Calibri" w:hAnsi="Times New Roman" w:cs="Times New Roman"/>
          <w:sz w:val="24"/>
          <w:szCs w:val="24"/>
        </w:rPr>
        <w:t>у</w:t>
      </w:r>
      <w:r w:rsidRPr="00EE4FA1">
        <w:rPr>
          <w:rFonts w:ascii="Times New Roman" w:eastAsia="Calibri" w:hAnsi="Times New Roman" w:cs="Times New Roman"/>
          <w:sz w:val="24"/>
          <w:szCs w:val="24"/>
        </w:rPr>
        <w:t xml:space="preserve"> инфекцију.</w:t>
      </w:r>
    </w:p>
    <w:p w:rsidR="00F84952" w:rsidRPr="00EE4FA1" w:rsidRDefault="00F84952" w:rsidP="00F84952">
      <w:pPr>
        <w:jc w:val="both"/>
        <w:rPr>
          <w:rFonts w:ascii="Times New Roman" w:eastAsia="Calibri" w:hAnsi="Times New Roman" w:cs="Times New Roman"/>
          <w:noProof/>
          <w:sz w:val="24"/>
          <w:szCs w:val="24"/>
        </w:rPr>
      </w:pPr>
      <w:r w:rsidRPr="00EE4FA1">
        <w:rPr>
          <w:rFonts w:ascii="Times New Roman" w:eastAsia="Calibri" w:hAnsi="Times New Roman" w:cs="Times New Roman"/>
          <w:sz w:val="24"/>
          <w:szCs w:val="24"/>
        </w:rPr>
        <w:t xml:space="preserve">Не прави се разлика између врста, једноставно се прописује ,,за одређивање следећих хуманих инфекција: </w:t>
      </w:r>
      <w:proofErr w:type="spellStart"/>
      <w:r w:rsidRPr="00EE4FA1">
        <w:rPr>
          <w:rFonts w:ascii="Times New Roman" w:eastAsia="Calibri" w:hAnsi="Times New Roman" w:cs="Times New Roman"/>
          <w:sz w:val="24"/>
          <w:szCs w:val="24"/>
        </w:rPr>
        <w:t>цитомегаловирус</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хламидијаˮ</w:t>
      </w:r>
      <w:proofErr w:type="spellEnd"/>
      <w:r w:rsidRPr="00EE4FA1">
        <w:rPr>
          <w:rFonts w:ascii="Times New Roman" w:eastAsia="Calibri" w:hAnsi="Times New Roman" w:cs="Times New Roman"/>
          <w:sz w:val="24"/>
          <w:szCs w:val="24"/>
        </w:rPr>
        <w:t xml:space="preserve">: </w:t>
      </w:r>
      <w:r w:rsidRPr="00EE4FA1">
        <w:rPr>
          <w:rFonts w:ascii="Times New Roman" w:eastAsia="Calibri" w:hAnsi="Times New Roman" w:cs="Times New Roman"/>
          <w:noProof/>
          <w:sz w:val="24"/>
          <w:szCs w:val="24"/>
        </w:rPr>
        <w:t>— реагенси и производи реагенаса, укључујући повезане калибраторе и контролне материјале за одређивање следећих хуманих инфекција: цитомегаловирус, хламидија.</w:t>
      </w:r>
    </w:p>
    <w:p w:rsidR="00F84952" w:rsidRPr="00EE4FA1" w:rsidRDefault="00F84952" w:rsidP="00F84952">
      <w:pPr>
        <w:jc w:val="both"/>
        <w:rPr>
          <w:rFonts w:ascii="Times New Roman" w:eastAsia="Calibri" w:hAnsi="Times New Roman" w:cs="Times New Roman"/>
          <w:noProof/>
          <w:sz w:val="24"/>
          <w:szCs w:val="24"/>
        </w:rPr>
      </w:pPr>
      <w:r w:rsidRPr="00EE4FA1">
        <w:rPr>
          <w:rFonts w:ascii="Times New Roman" w:eastAsia="Calibri" w:hAnsi="Times New Roman" w:cs="Times New Roman"/>
          <w:noProof/>
          <w:sz w:val="24"/>
          <w:szCs w:val="24"/>
        </w:rPr>
        <w:t xml:space="preserve">Због таксономске рекласификације хламидије, бивше врсте </w:t>
      </w:r>
      <w:proofErr w:type="spellStart"/>
      <w:r w:rsidRPr="00EE4FA1">
        <w:rPr>
          <w:rFonts w:ascii="Times New Roman" w:eastAsia="Calibri" w:hAnsi="Times New Roman" w:cs="Times New Roman"/>
          <w:sz w:val="24"/>
          <w:szCs w:val="24"/>
        </w:rPr>
        <w:t>Chlamydia</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pneumoniae</w:t>
      </w:r>
      <w:proofErr w:type="spellEnd"/>
      <w:r w:rsidRPr="00EE4FA1">
        <w:rPr>
          <w:rFonts w:ascii="Times New Roman" w:eastAsia="Calibri" w:hAnsi="Times New Roman" w:cs="Times New Roman"/>
          <w:noProof/>
          <w:sz w:val="24"/>
          <w:szCs w:val="24"/>
        </w:rPr>
        <w:t xml:space="preserve">, </w:t>
      </w:r>
      <w:proofErr w:type="spellStart"/>
      <w:r w:rsidRPr="00EE4FA1">
        <w:rPr>
          <w:rFonts w:ascii="Times New Roman" w:eastAsia="Calibri" w:hAnsi="Times New Roman" w:cs="Times New Roman"/>
          <w:sz w:val="24"/>
          <w:szCs w:val="24"/>
        </w:rPr>
        <w:t>Chlamydia</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pecorum</w:t>
      </w:r>
      <w:proofErr w:type="spellEnd"/>
      <w:r w:rsidRPr="00EE4FA1">
        <w:rPr>
          <w:rFonts w:ascii="Times New Roman" w:eastAsia="Calibri" w:hAnsi="Times New Roman" w:cs="Times New Roman"/>
          <w:sz w:val="24"/>
          <w:szCs w:val="24"/>
        </w:rPr>
        <w:t xml:space="preserve"> </w:t>
      </w:r>
      <w:r w:rsidRPr="00EE4FA1">
        <w:rPr>
          <w:rFonts w:ascii="Times New Roman" w:eastAsia="Calibri" w:hAnsi="Times New Roman" w:cs="Times New Roman"/>
          <w:noProof/>
          <w:sz w:val="24"/>
          <w:szCs w:val="24"/>
        </w:rPr>
        <w:t xml:space="preserve">и </w:t>
      </w:r>
      <w:proofErr w:type="spellStart"/>
      <w:r w:rsidRPr="00EE4FA1">
        <w:rPr>
          <w:rFonts w:ascii="Times New Roman" w:eastAsia="Calibri" w:hAnsi="Times New Roman" w:cs="Times New Roman"/>
          <w:sz w:val="24"/>
          <w:szCs w:val="24"/>
        </w:rPr>
        <w:t>Chlamydia</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psittaci</w:t>
      </w:r>
      <w:proofErr w:type="spellEnd"/>
      <w:r w:rsidRPr="00EE4FA1">
        <w:rPr>
          <w:rFonts w:ascii="Times New Roman" w:eastAsia="Calibri" w:hAnsi="Times New Roman" w:cs="Times New Roman"/>
          <w:sz w:val="24"/>
          <w:szCs w:val="24"/>
        </w:rPr>
        <w:t xml:space="preserve"> </w:t>
      </w:r>
      <w:r w:rsidRPr="00EE4FA1">
        <w:rPr>
          <w:rFonts w:ascii="Times New Roman" w:eastAsia="Calibri" w:hAnsi="Times New Roman" w:cs="Times New Roman"/>
          <w:noProof/>
          <w:sz w:val="24"/>
          <w:szCs w:val="24"/>
        </w:rPr>
        <w:t xml:space="preserve">су премештене у нови род </w:t>
      </w:r>
      <w:proofErr w:type="spellStart"/>
      <w:r w:rsidRPr="00EE4FA1">
        <w:rPr>
          <w:rFonts w:ascii="Times New Roman" w:eastAsia="Calibri" w:hAnsi="Times New Roman" w:cs="Times New Roman"/>
          <w:sz w:val="24"/>
          <w:szCs w:val="24"/>
        </w:rPr>
        <w:t>Chlamydophila</w:t>
      </w:r>
      <w:proofErr w:type="spellEnd"/>
      <w:r w:rsidRPr="00EE4FA1">
        <w:rPr>
          <w:rFonts w:ascii="Times New Roman" w:eastAsia="Calibri" w:hAnsi="Times New Roman" w:cs="Times New Roman"/>
          <w:noProof/>
          <w:sz w:val="24"/>
          <w:szCs w:val="24"/>
        </w:rPr>
        <w:t xml:space="preserve">. Израз "хламидија" у Анексу II Листе Б треба </w:t>
      </w:r>
      <w:r>
        <w:rPr>
          <w:rFonts w:ascii="Times New Roman" w:eastAsia="Calibri" w:hAnsi="Times New Roman" w:cs="Times New Roman"/>
          <w:noProof/>
          <w:sz w:val="24"/>
          <w:szCs w:val="24"/>
        </w:rPr>
        <w:t>разумети</w:t>
      </w:r>
      <w:r w:rsidRPr="00EE4FA1">
        <w:rPr>
          <w:rFonts w:ascii="Times New Roman" w:eastAsia="Calibri" w:hAnsi="Times New Roman" w:cs="Times New Roman"/>
          <w:noProof/>
          <w:sz w:val="24"/>
          <w:szCs w:val="24"/>
        </w:rPr>
        <w:t xml:space="preserve"> као укључивање горе поменутих врста из рода </w:t>
      </w:r>
      <w:proofErr w:type="spellStart"/>
      <w:r w:rsidRPr="00EE4FA1">
        <w:rPr>
          <w:rFonts w:ascii="Times New Roman" w:eastAsia="Calibri" w:hAnsi="Times New Roman" w:cs="Times New Roman"/>
          <w:sz w:val="24"/>
          <w:szCs w:val="24"/>
        </w:rPr>
        <w:t>Chlamydophila</w:t>
      </w:r>
      <w:proofErr w:type="spellEnd"/>
      <w:r w:rsidRPr="00EE4FA1">
        <w:rPr>
          <w:rFonts w:ascii="Times New Roman" w:eastAsia="Calibri" w:hAnsi="Times New Roman" w:cs="Times New Roman"/>
          <w:sz w:val="24"/>
          <w:szCs w:val="24"/>
        </w:rPr>
        <w:t xml:space="preserve"> и рода </w:t>
      </w:r>
      <w:proofErr w:type="spellStart"/>
      <w:r w:rsidRPr="00EE4FA1">
        <w:rPr>
          <w:rFonts w:ascii="Times New Roman" w:eastAsia="Calibri" w:hAnsi="Times New Roman" w:cs="Times New Roman"/>
          <w:sz w:val="24"/>
          <w:szCs w:val="24"/>
        </w:rPr>
        <w:t>Chlamydia</w:t>
      </w:r>
      <w:proofErr w:type="spellEnd"/>
      <w:r w:rsidRPr="00EE4FA1">
        <w:rPr>
          <w:rFonts w:ascii="Times New Roman" w:eastAsia="Calibri" w:hAnsi="Times New Roman" w:cs="Times New Roman"/>
          <w:noProof/>
          <w:sz w:val="24"/>
          <w:szCs w:val="24"/>
        </w:rPr>
        <w:t>.</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1.2.2. Класификација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дијагностичких китова за мерење параметара који могу да се користе за процену ризика од </w:t>
      </w:r>
      <w:proofErr w:type="spellStart"/>
      <w:r w:rsidRPr="00EE4FA1">
        <w:rPr>
          <w:rFonts w:ascii="Times New Roman" w:eastAsia="Calibri" w:hAnsi="Times New Roman" w:cs="Times New Roman"/>
          <w:sz w:val="24"/>
          <w:szCs w:val="24"/>
        </w:rPr>
        <w:t>тризомије</w:t>
      </w:r>
      <w:proofErr w:type="spellEnd"/>
      <w:r w:rsidRPr="00EE4FA1">
        <w:rPr>
          <w:rFonts w:ascii="Times New Roman" w:eastAsia="Calibri" w:hAnsi="Times New Roman" w:cs="Times New Roman"/>
          <w:sz w:val="24"/>
          <w:szCs w:val="24"/>
        </w:rPr>
        <w:t xml:space="preserve"> 21</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Произвођач може да изабере да стави на тржиште кит намењен за мерење параметара који могу да се користе за процену ризика од </w:t>
      </w:r>
      <w:proofErr w:type="spellStart"/>
      <w:r w:rsidRPr="00EE4FA1">
        <w:rPr>
          <w:rFonts w:ascii="Times New Roman" w:eastAsia="Calibri" w:hAnsi="Times New Roman" w:cs="Times New Roman"/>
          <w:sz w:val="24"/>
          <w:szCs w:val="24"/>
        </w:rPr>
        <w:t>тризомије</w:t>
      </w:r>
      <w:proofErr w:type="spellEnd"/>
      <w:r w:rsidRPr="00EE4FA1">
        <w:rPr>
          <w:rFonts w:ascii="Times New Roman" w:eastAsia="Calibri" w:hAnsi="Times New Roman" w:cs="Times New Roman"/>
          <w:sz w:val="24"/>
          <w:szCs w:val="24"/>
        </w:rPr>
        <w:t xml:space="preserve"> 21, као што су  AFP, </w:t>
      </w:r>
      <w:proofErr w:type="spellStart"/>
      <w:r w:rsidRPr="00EE4FA1">
        <w:rPr>
          <w:rFonts w:ascii="Times New Roman" w:eastAsia="Calibri" w:hAnsi="Times New Roman" w:cs="Times New Roman"/>
          <w:sz w:val="24"/>
          <w:szCs w:val="24"/>
        </w:rPr>
        <w:t>hCG</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hCG</w:t>
      </w:r>
      <w:proofErr w:type="spellEnd"/>
      <w:r w:rsidRPr="00EE4FA1">
        <w:rPr>
          <w:rFonts w:ascii="Times New Roman" w:eastAsia="Calibri" w:hAnsi="Times New Roman" w:cs="Times New Roman"/>
          <w:sz w:val="24"/>
          <w:szCs w:val="24"/>
        </w:rPr>
        <w:t xml:space="preserve">-beta, </w:t>
      </w:r>
      <w:proofErr w:type="spellStart"/>
      <w:r w:rsidRPr="00EE4FA1">
        <w:rPr>
          <w:rFonts w:ascii="Times New Roman" w:eastAsia="Calibri" w:hAnsi="Times New Roman" w:cs="Times New Roman"/>
          <w:sz w:val="24"/>
          <w:szCs w:val="24"/>
        </w:rPr>
        <w:t>естриол</w:t>
      </w:r>
      <w:proofErr w:type="spellEnd"/>
      <w:r w:rsidRPr="00EE4FA1">
        <w:rPr>
          <w:rFonts w:ascii="Times New Roman" w:eastAsia="Calibri" w:hAnsi="Times New Roman" w:cs="Times New Roman"/>
          <w:sz w:val="24"/>
          <w:szCs w:val="24"/>
        </w:rPr>
        <w:t xml:space="preserve"> и PAPP-A, без предвиђене намене за процену ризика од </w:t>
      </w:r>
      <w:proofErr w:type="spellStart"/>
      <w:r w:rsidRPr="00EE4FA1">
        <w:rPr>
          <w:rFonts w:ascii="Times New Roman" w:eastAsia="Calibri" w:hAnsi="Times New Roman" w:cs="Times New Roman"/>
          <w:sz w:val="24"/>
          <w:szCs w:val="24"/>
        </w:rPr>
        <w:t>тризомије</w:t>
      </w:r>
      <w:proofErr w:type="spellEnd"/>
      <w:r w:rsidRPr="00EE4FA1">
        <w:rPr>
          <w:rFonts w:ascii="Times New Roman" w:eastAsia="Calibri" w:hAnsi="Times New Roman" w:cs="Times New Roman"/>
          <w:sz w:val="24"/>
          <w:szCs w:val="24"/>
        </w:rPr>
        <w:t xml:space="preserve"> 21.</w:t>
      </w:r>
    </w:p>
    <w:p w:rsidR="00F84952" w:rsidRPr="00EE4FA1" w:rsidRDefault="00F84952" w:rsidP="00F84952">
      <w:pPr>
        <w:jc w:val="both"/>
        <w:rPr>
          <w:rFonts w:ascii="Times New Roman" w:eastAsia="Calibri" w:hAnsi="Times New Roman" w:cs="Times New Roman"/>
          <w:sz w:val="24"/>
          <w:szCs w:val="24"/>
        </w:rPr>
      </w:pPr>
      <w:r w:rsidRPr="00EE4FA1">
        <w:rPr>
          <w:rFonts w:ascii="Times New Roman" w:eastAsia="Calibri" w:hAnsi="Times New Roman" w:cs="Times New Roman"/>
          <w:sz w:val="24"/>
          <w:szCs w:val="24"/>
        </w:rPr>
        <w:t xml:space="preserve">У том случају такви китови нису намењени за процену ризика од </w:t>
      </w:r>
      <w:proofErr w:type="spellStart"/>
      <w:r w:rsidRPr="00EE4FA1">
        <w:rPr>
          <w:rFonts w:ascii="Times New Roman" w:eastAsia="Calibri" w:hAnsi="Times New Roman" w:cs="Times New Roman"/>
          <w:sz w:val="24"/>
          <w:szCs w:val="24"/>
        </w:rPr>
        <w:t>тризомије</w:t>
      </w:r>
      <w:proofErr w:type="spellEnd"/>
      <w:r w:rsidRPr="00EE4FA1">
        <w:rPr>
          <w:rFonts w:ascii="Times New Roman" w:eastAsia="Calibri" w:hAnsi="Times New Roman" w:cs="Times New Roman"/>
          <w:sz w:val="24"/>
          <w:szCs w:val="24"/>
        </w:rPr>
        <w:t xml:space="preserve"> 21 и информације које се тичу измерених параметара за процену ризика од </w:t>
      </w:r>
      <w:proofErr w:type="spellStart"/>
      <w:r w:rsidRPr="00EE4FA1">
        <w:rPr>
          <w:rFonts w:ascii="Times New Roman" w:eastAsia="Calibri" w:hAnsi="Times New Roman" w:cs="Times New Roman"/>
          <w:sz w:val="24"/>
          <w:szCs w:val="24"/>
        </w:rPr>
        <w:t>тризомије</w:t>
      </w:r>
      <w:proofErr w:type="spellEnd"/>
      <w:r w:rsidRPr="00EE4FA1">
        <w:rPr>
          <w:rFonts w:ascii="Times New Roman" w:eastAsia="Calibri" w:hAnsi="Times New Roman" w:cs="Times New Roman"/>
          <w:sz w:val="24"/>
          <w:szCs w:val="24"/>
        </w:rPr>
        <w:t xml:space="preserve"> 21 неће бити укључене у упутства за употребу. </w:t>
      </w:r>
      <w:r>
        <w:rPr>
          <w:rFonts w:ascii="Times New Roman" w:eastAsia="Calibri" w:hAnsi="Times New Roman" w:cs="Times New Roman"/>
          <w:sz w:val="24"/>
          <w:szCs w:val="24"/>
        </w:rPr>
        <w:t>Т</w:t>
      </w:r>
      <w:r w:rsidRPr="00EE4FA1">
        <w:rPr>
          <w:rFonts w:ascii="Times New Roman" w:eastAsia="Calibri" w:hAnsi="Times New Roman" w:cs="Times New Roman"/>
          <w:sz w:val="24"/>
          <w:szCs w:val="24"/>
        </w:rPr>
        <w:t xml:space="preserve">и китови класификују се као остала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sz w:val="24"/>
          <w:szCs w:val="24"/>
        </w:rPr>
        <w:t xml:space="preserve"> дијагностичка медицинска средства и стављају се на тржиште у складу са Прилог</w:t>
      </w:r>
      <w:r>
        <w:rPr>
          <w:rFonts w:ascii="Times New Roman" w:eastAsia="Calibri" w:hAnsi="Times New Roman" w:cs="Times New Roman"/>
          <w:sz w:val="24"/>
          <w:szCs w:val="24"/>
        </w:rPr>
        <w:t>ом</w:t>
      </w:r>
      <w:r w:rsidRPr="00EE4FA1">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EE4FA1">
        <w:rPr>
          <w:rFonts w:ascii="Times New Roman" w:eastAsia="Calibri" w:hAnsi="Times New Roman" w:cs="Times New Roman"/>
          <w:sz w:val="24"/>
          <w:szCs w:val="24"/>
        </w:rPr>
        <w:t xml:space="preserve">Анекс III </w:t>
      </w:r>
      <w:proofErr w:type="spellStart"/>
      <w:r w:rsidRPr="00EE4FA1">
        <w:rPr>
          <w:rFonts w:ascii="Times New Roman" w:eastAsia="Calibri" w:hAnsi="Times New Roman" w:cs="Times New Roman"/>
          <w:sz w:val="24"/>
          <w:szCs w:val="24"/>
        </w:rPr>
        <w:t>подзаконског</w:t>
      </w:r>
      <w:proofErr w:type="spellEnd"/>
      <w:r w:rsidRPr="00EE4FA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прописа</w:t>
      </w:r>
      <w:r w:rsidRPr="00EE4FA1">
        <w:rPr>
          <w:rFonts w:ascii="Times New Roman" w:eastAsia="Calibri" w:hAnsi="Times New Roman" w:cs="Times New Roman"/>
          <w:sz w:val="24"/>
          <w:szCs w:val="24"/>
        </w:rPr>
        <w:t xml:space="preserve"> којим се уређују основни захтеви за медицинск</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средства. Постигнут је консензус да у се том случају у упутству или на паковању наводи: ,,овај кит НИЈЕ намењен за процену ризика од </w:t>
      </w:r>
      <w:proofErr w:type="spellStart"/>
      <w:r w:rsidRPr="00EE4FA1">
        <w:rPr>
          <w:rFonts w:ascii="Times New Roman" w:eastAsia="Calibri" w:hAnsi="Times New Roman" w:cs="Times New Roman"/>
          <w:sz w:val="24"/>
          <w:szCs w:val="24"/>
        </w:rPr>
        <w:t>тризомије</w:t>
      </w:r>
      <w:proofErr w:type="spellEnd"/>
      <w:r w:rsidRPr="00EE4FA1">
        <w:rPr>
          <w:rFonts w:ascii="Times New Roman" w:eastAsia="Calibri" w:hAnsi="Times New Roman" w:cs="Times New Roman"/>
          <w:sz w:val="24"/>
          <w:szCs w:val="24"/>
        </w:rPr>
        <w:t xml:space="preserve"> 21ˮ.  </w:t>
      </w:r>
    </w:p>
    <w:p w:rsidR="00F84952" w:rsidRPr="00EE4FA1" w:rsidRDefault="00F84952" w:rsidP="00F84952">
      <w:pPr>
        <w:jc w:val="both"/>
        <w:rPr>
          <w:rFonts w:ascii="Times New Roman" w:hAnsi="Times New Roman" w:cs="Times New Roman"/>
          <w:sz w:val="24"/>
          <w:szCs w:val="24"/>
        </w:rPr>
      </w:pPr>
      <w:r>
        <w:rPr>
          <w:rFonts w:ascii="Times New Roman" w:eastAsia="Calibri" w:hAnsi="Times New Roman" w:cs="Times New Roman"/>
          <w:sz w:val="24"/>
          <w:szCs w:val="24"/>
        </w:rPr>
        <w:t>Као даљи водич за</w:t>
      </w:r>
      <w:r w:rsidRPr="00EE4FA1">
        <w:rPr>
          <w:rFonts w:ascii="Times New Roman" w:eastAsia="Calibri" w:hAnsi="Times New Roman" w:cs="Times New Roman"/>
          <w:sz w:val="24"/>
          <w:szCs w:val="24"/>
        </w:rPr>
        <w:t xml:space="preserve"> ово питањ</w:t>
      </w:r>
      <w:r>
        <w:rPr>
          <w:rFonts w:ascii="Times New Roman" w:eastAsia="Calibri" w:hAnsi="Times New Roman" w:cs="Times New Roman"/>
          <w:sz w:val="24"/>
          <w:szCs w:val="24"/>
        </w:rPr>
        <w:t>е може да се користи</w:t>
      </w:r>
      <w:r w:rsidRPr="00EE4FA1">
        <w:rPr>
          <w:rFonts w:ascii="Times New Roman" w:eastAsia="Calibri" w:hAnsi="Times New Roman" w:cs="Times New Roman"/>
          <w:sz w:val="24"/>
          <w:szCs w:val="24"/>
        </w:rPr>
        <w:t xml:space="preserve"> изјав</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консензуса ,,Захтеви за </w:t>
      </w:r>
      <w:r w:rsidRPr="00EE4FA1">
        <w:rPr>
          <w:rFonts w:ascii="Times New Roman" w:eastAsia="Calibri" w:hAnsi="Times New Roman" w:cs="Times New Roman"/>
          <w:i/>
          <w:sz w:val="24"/>
          <w:szCs w:val="24"/>
        </w:rPr>
        <w:t xml:space="preserve">in </w:t>
      </w:r>
      <w:proofErr w:type="spellStart"/>
      <w:r w:rsidRPr="00EE4FA1">
        <w:rPr>
          <w:rFonts w:ascii="Times New Roman" w:eastAsia="Calibri" w:hAnsi="Times New Roman" w:cs="Times New Roman"/>
          <w:i/>
          <w:sz w:val="24"/>
          <w:szCs w:val="24"/>
        </w:rPr>
        <w:t>vitro</w:t>
      </w:r>
      <w:proofErr w:type="spellEnd"/>
      <w:r w:rsidRPr="00EE4FA1">
        <w:rPr>
          <w:rFonts w:ascii="Times New Roman" w:eastAsia="Calibri" w:hAnsi="Times New Roman" w:cs="Times New Roman"/>
          <w:i/>
          <w:sz w:val="24"/>
          <w:szCs w:val="24"/>
        </w:rPr>
        <w:t xml:space="preserve"> </w:t>
      </w:r>
      <w:r w:rsidRPr="00EE4FA1">
        <w:rPr>
          <w:rFonts w:ascii="Times New Roman" w:eastAsia="Calibri" w:hAnsi="Times New Roman" w:cs="Times New Roman"/>
          <w:sz w:val="24"/>
          <w:szCs w:val="24"/>
        </w:rPr>
        <w:t xml:space="preserve">дијагностичке китове за мерење параметара који могу да се користе за процену ризика од </w:t>
      </w:r>
      <w:proofErr w:type="spellStart"/>
      <w:r w:rsidRPr="00EE4FA1">
        <w:rPr>
          <w:rFonts w:ascii="Times New Roman" w:eastAsia="Calibri" w:hAnsi="Times New Roman" w:cs="Times New Roman"/>
          <w:sz w:val="24"/>
          <w:szCs w:val="24"/>
        </w:rPr>
        <w:t>тризомије</w:t>
      </w:r>
      <w:proofErr w:type="spellEnd"/>
      <w:r w:rsidRPr="00EE4FA1">
        <w:rPr>
          <w:rFonts w:ascii="Times New Roman" w:eastAsia="Calibri" w:hAnsi="Times New Roman" w:cs="Times New Roman"/>
          <w:sz w:val="24"/>
          <w:szCs w:val="24"/>
        </w:rPr>
        <w:t xml:space="preserve"> 21ˮ доступн</w:t>
      </w:r>
      <w:r>
        <w:rPr>
          <w:rFonts w:ascii="Times New Roman" w:eastAsia="Calibri" w:hAnsi="Times New Roman" w:cs="Times New Roman"/>
          <w:sz w:val="24"/>
          <w:szCs w:val="24"/>
        </w:rPr>
        <w:t>а</w:t>
      </w:r>
      <w:r w:rsidRPr="00EE4FA1">
        <w:rPr>
          <w:rFonts w:ascii="Times New Roman" w:eastAsia="Calibri" w:hAnsi="Times New Roman" w:cs="Times New Roman"/>
          <w:sz w:val="24"/>
          <w:szCs w:val="24"/>
        </w:rPr>
        <w:t xml:space="preserve"> на интернет страници Европске комисије</w:t>
      </w:r>
      <w:r w:rsidRPr="00EE4FA1">
        <w:rPr>
          <w:rFonts w:ascii="Times New Roman" w:eastAsia="Calibri" w:hAnsi="Times New Roman" w:cs="Times New Roman"/>
          <w:i/>
          <w:sz w:val="24"/>
          <w:szCs w:val="24"/>
        </w:rPr>
        <w:t xml:space="preserve"> (</w:t>
      </w:r>
      <w:proofErr w:type="spellStart"/>
      <w:r w:rsidRPr="00EE4FA1">
        <w:rPr>
          <w:rFonts w:ascii="Times New Roman" w:eastAsia="Calibri" w:hAnsi="Times New Roman" w:cs="Times New Roman"/>
          <w:sz w:val="24"/>
          <w:szCs w:val="24"/>
        </w:rPr>
        <w:t>Requirements</w:t>
      </w:r>
      <w:proofErr w:type="spellEnd"/>
      <w:r w:rsidRPr="00EE4FA1">
        <w:rPr>
          <w:rFonts w:ascii="Times New Roman" w:eastAsia="Calibri" w:hAnsi="Times New Roman" w:cs="Times New Roman"/>
          <w:sz w:val="24"/>
          <w:szCs w:val="24"/>
        </w:rPr>
        <w:t xml:space="preserve"> for in </w:t>
      </w:r>
      <w:proofErr w:type="spellStart"/>
      <w:r w:rsidRPr="00EE4FA1">
        <w:rPr>
          <w:rFonts w:ascii="Times New Roman" w:eastAsia="Calibri" w:hAnsi="Times New Roman" w:cs="Times New Roman"/>
          <w:sz w:val="24"/>
          <w:szCs w:val="24"/>
        </w:rPr>
        <w:t>vitro</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diagnostic</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kits</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measuring</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parameters</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which</w:t>
      </w:r>
      <w:proofErr w:type="spellEnd"/>
      <w:r w:rsidRPr="00EE4FA1">
        <w:rPr>
          <w:rFonts w:ascii="Times New Roman" w:eastAsia="Calibri" w:hAnsi="Times New Roman" w:cs="Times New Roman"/>
          <w:sz w:val="24"/>
          <w:szCs w:val="24"/>
        </w:rPr>
        <w:t xml:space="preserve"> </w:t>
      </w:r>
      <w:proofErr w:type="spellStart"/>
      <w:r w:rsidRPr="00EE4FA1">
        <w:rPr>
          <w:rFonts w:ascii="Times New Roman" w:eastAsia="Calibri" w:hAnsi="Times New Roman" w:cs="Times New Roman"/>
          <w:sz w:val="24"/>
          <w:szCs w:val="24"/>
        </w:rPr>
        <w:t>can</w:t>
      </w:r>
      <w:proofErr w:type="spellEnd"/>
      <w:r w:rsidRPr="00EE4FA1">
        <w:rPr>
          <w:rFonts w:ascii="Times New Roman" w:eastAsia="Calibri" w:hAnsi="Times New Roman" w:cs="Times New Roman"/>
          <w:sz w:val="24"/>
          <w:szCs w:val="24"/>
        </w:rPr>
        <w:t xml:space="preserve"> be </w:t>
      </w:r>
      <w:proofErr w:type="spellStart"/>
      <w:r w:rsidRPr="00EE4FA1">
        <w:rPr>
          <w:rFonts w:ascii="Times New Roman" w:eastAsia="Calibri" w:hAnsi="Times New Roman" w:cs="Times New Roman"/>
          <w:sz w:val="24"/>
          <w:szCs w:val="24"/>
        </w:rPr>
        <w:t>used</w:t>
      </w:r>
      <w:proofErr w:type="spellEnd"/>
      <w:r w:rsidRPr="00EE4FA1">
        <w:rPr>
          <w:rFonts w:ascii="Times New Roman" w:eastAsia="Calibri" w:hAnsi="Times New Roman" w:cs="Times New Roman"/>
          <w:sz w:val="24"/>
          <w:szCs w:val="24"/>
        </w:rPr>
        <w:t xml:space="preserve"> for </w:t>
      </w:r>
      <w:proofErr w:type="spellStart"/>
      <w:r w:rsidRPr="00EE4FA1">
        <w:rPr>
          <w:rFonts w:ascii="Times New Roman" w:eastAsia="Calibri" w:hAnsi="Times New Roman" w:cs="Times New Roman"/>
          <w:sz w:val="24"/>
          <w:szCs w:val="24"/>
        </w:rPr>
        <w:t>evaluating</w:t>
      </w:r>
      <w:proofErr w:type="spellEnd"/>
      <w:r w:rsidRPr="00EE4FA1">
        <w:rPr>
          <w:rFonts w:ascii="Times New Roman" w:eastAsia="Calibri" w:hAnsi="Times New Roman" w:cs="Times New Roman"/>
          <w:sz w:val="24"/>
          <w:szCs w:val="24"/>
        </w:rPr>
        <w:t xml:space="preserve"> the </w:t>
      </w:r>
      <w:proofErr w:type="spellStart"/>
      <w:r w:rsidRPr="00EE4FA1">
        <w:rPr>
          <w:rFonts w:ascii="Times New Roman" w:eastAsia="Calibri" w:hAnsi="Times New Roman" w:cs="Times New Roman"/>
          <w:sz w:val="24"/>
          <w:szCs w:val="24"/>
        </w:rPr>
        <w:t>risk</w:t>
      </w:r>
      <w:proofErr w:type="spellEnd"/>
      <w:r w:rsidRPr="00EE4FA1">
        <w:rPr>
          <w:rFonts w:ascii="Times New Roman" w:eastAsia="Calibri" w:hAnsi="Times New Roman" w:cs="Times New Roman"/>
          <w:sz w:val="24"/>
          <w:szCs w:val="24"/>
        </w:rPr>
        <w:t xml:space="preserve"> of </w:t>
      </w:r>
      <w:proofErr w:type="spellStart"/>
      <w:r w:rsidRPr="00EE4FA1">
        <w:rPr>
          <w:rFonts w:ascii="Times New Roman" w:eastAsia="Calibri" w:hAnsi="Times New Roman" w:cs="Times New Roman"/>
          <w:sz w:val="24"/>
          <w:szCs w:val="24"/>
        </w:rPr>
        <w:t>trisomy</w:t>
      </w:r>
      <w:proofErr w:type="spellEnd"/>
      <w:r w:rsidRPr="00EE4FA1">
        <w:rPr>
          <w:rFonts w:ascii="Times New Roman" w:eastAsia="Calibri" w:hAnsi="Times New Roman" w:cs="Times New Roman"/>
          <w:sz w:val="24"/>
          <w:szCs w:val="24"/>
        </w:rPr>
        <w:t xml:space="preserve"> 21).</w:t>
      </w:r>
    </w:p>
    <w:p w:rsidR="00ED04D7" w:rsidRDefault="00ED04D7"/>
    <w:sectPr w:rsidR="00ED04D7" w:rsidSect="00ED78F6">
      <w:footerReference w:type="default" r:id="rId8"/>
      <w:footerReference w:type="first" r:id="rId9"/>
      <w:pgSz w:w="11906" w:h="16838"/>
      <w:pgMar w:top="1417" w:right="1134"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BB" w:rsidRDefault="00624FBB" w:rsidP="00F84952">
      <w:pPr>
        <w:spacing w:after="0" w:line="240" w:lineRule="auto"/>
      </w:pPr>
      <w:r>
        <w:separator/>
      </w:r>
    </w:p>
  </w:endnote>
  <w:endnote w:type="continuationSeparator" w:id="0">
    <w:p w:rsidR="00624FBB" w:rsidRDefault="00624FBB" w:rsidP="00F8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19820"/>
      <w:docPartObj>
        <w:docPartGallery w:val="Page Numbers (Bottom of Page)"/>
        <w:docPartUnique/>
      </w:docPartObj>
    </w:sdtPr>
    <w:sdtEndPr>
      <w:rPr>
        <w:rFonts w:ascii="Times New Roman" w:hAnsi="Times New Roman" w:cs="Times New Roman"/>
        <w:noProof/>
        <w:sz w:val="24"/>
        <w:szCs w:val="24"/>
      </w:rPr>
    </w:sdtEndPr>
    <w:sdtContent>
      <w:p w:rsidR="00E27B09" w:rsidRPr="00E27B09" w:rsidRDefault="00A635F2">
        <w:pPr>
          <w:pStyle w:val="Footer"/>
          <w:jc w:val="right"/>
          <w:rPr>
            <w:rFonts w:ascii="Times New Roman" w:hAnsi="Times New Roman" w:cs="Times New Roman"/>
            <w:sz w:val="24"/>
            <w:szCs w:val="24"/>
          </w:rPr>
        </w:pPr>
        <w:r w:rsidRPr="00E27B09">
          <w:rPr>
            <w:rFonts w:ascii="Times New Roman" w:hAnsi="Times New Roman" w:cs="Times New Roman"/>
            <w:sz w:val="24"/>
            <w:szCs w:val="24"/>
          </w:rPr>
          <w:fldChar w:fldCharType="begin"/>
        </w:r>
        <w:r w:rsidRPr="00E27B09">
          <w:rPr>
            <w:rFonts w:ascii="Times New Roman" w:hAnsi="Times New Roman" w:cs="Times New Roman"/>
            <w:sz w:val="24"/>
            <w:szCs w:val="24"/>
          </w:rPr>
          <w:instrText xml:space="preserve"> PAGE   \* MERGEFORMAT </w:instrText>
        </w:r>
        <w:r w:rsidRPr="00E27B09">
          <w:rPr>
            <w:rFonts w:ascii="Times New Roman" w:hAnsi="Times New Roman" w:cs="Times New Roman"/>
            <w:sz w:val="24"/>
            <w:szCs w:val="24"/>
          </w:rPr>
          <w:fldChar w:fldCharType="separate"/>
        </w:r>
        <w:r w:rsidR="00ED78F6">
          <w:rPr>
            <w:rFonts w:ascii="Times New Roman" w:hAnsi="Times New Roman" w:cs="Times New Roman"/>
            <w:noProof/>
            <w:sz w:val="24"/>
            <w:szCs w:val="24"/>
          </w:rPr>
          <w:t>3</w:t>
        </w:r>
        <w:r w:rsidRPr="00E27B09">
          <w:rPr>
            <w:rFonts w:ascii="Times New Roman" w:hAnsi="Times New Roman" w:cs="Times New Roman"/>
            <w:noProof/>
            <w:sz w:val="24"/>
            <w:szCs w:val="24"/>
          </w:rPr>
          <w:fldChar w:fldCharType="end"/>
        </w:r>
      </w:p>
    </w:sdtContent>
  </w:sdt>
  <w:p w:rsidR="00E27B09" w:rsidRDefault="00624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F6" w:rsidRDefault="00ED78F6">
    <w:pPr>
      <w:pStyle w:val="Footer"/>
      <w:jc w:val="right"/>
    </w:pPr>
  </w:p>
  <w:p w:rsidR="00ED78F6" w:rsidRDefault="00ED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BB" w:rsidRDefault="00624FBB" w:rsidP="00F84952">
      <w:pPr>
        <w:spacing w:after="0" w:line="240" w:lineRule="auto"/>
      </w:pPr>
      <w:r>
        <w:separator/>
      </w:r>
    </w:p>
  </w:footnote>
  <w:footnote w:type="continuationSeparator" w:id="0">
    <w:p w:rsidR="00624FBB" w:rsidRDefault="00624FBB" w:rsidP="00F84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ABB"/>
    <w:multiLevelType w:val="hybridMultilevel"/>
    <w:tmpl w:val="664A7C5E"/>
    <w:lvl w:ilvl="0" w:tplc="081A0001">
      <w:start w:val="1"/>
      <w:numFmt w:val="bullet"/>
      <w:lvlText w:val=""/>
      <w:lvlJc w:val="left"/>
      <w:pPr>
        <w:ind w:left="1065" w:hanging="705"/>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120D212F"/>
    <w:multiLevelType w:val="hybridMultilevel"/>
    <w:tmpl w:val="A66AA234"/>
    <w:lvl w:ilvl="0" w:tplc="0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12812415"/>
    <w:multiLevelType w:val="hybridMultilevel"/>
    <w:tmpl w:val="589E1C4A"/>
    <w:lvl w:ilvl="0" w:tplc="0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136079EC"/>
    <w:multiLevelType w:val="hybridMultilevel"/>
    <w:tmpl w:val="513604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0E4095"/>
    <w:multiLevelType w:val="hybridMultilevel"/>
    <w:tmpl w:val="AEDCB980"/>
    <w:lvl w:ilvl="0" w:tplc="55FC2982">
      <w:numFmt w:val="bullet"/>
      <w:lvlText w:val="•"/>
      <w:lvlJc w:val="left"/>
      <w:pPr>
        <w:ind w:left="1065" w:hanging="705"/>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1C6515FF"/>
    <w:multiLevelType w:val="hybridMultilevel"/>
    <w:tmpl w:val="3D9E44B2"/>
    <w:lvl w:ilvl="0" w:tplc="55FC2982">
      <w:numFmt w:val="bullet"/>
      <w:lvlText w:val="•"/>
      <w:lvlJc w:val="left"/>
      <w:pPr>
        <w:ind w:left="1065" w:hanging="705"/>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1FC57419"/>
    <w:multiLevelType w:val="hybridMultilevel"/>
    <w:tmpl w:val="5DC0123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nsid w:val="361D433C"/>
    <w:multiLevelType w:val="hybridMultilevel"/>
    <w:tmpl w:val="3FE81834"/>
    <w:lvl w:ilvl="0" w:tplc="081A0001">
      <w:start w:val="1"/>
      <w:numFmt w:val="bullet"/>
      <w:lvlText w:val=""/>
      <w:lvlJc w:val="left"/>
      <w:pPr>
        <w:ind w:left="1065" w:hanging="705"/>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4D98786F"/>
    <w:multiLevelType w:val="hybridMultilevel"/>
    <w:tmpl w:val="A53C9416"/>
    <w:lvl w:ilvl="0" w:tplc="0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5"/>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52"/>
    <w:rsid w:val="00624FBB"/>
    <w:rsid w:val="00A635F2"/>
    <w:rsid w:val="00ED04D7"/>
    <w:rsid w:val="00ED78F6"/>
    <w:rsid w:val="00F8495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4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952"/>
    <w:rPr>
      <w:sz w:val="20"/>
      <w:szCs w:val="20"/>
    </w:rPr>
  </w:style>
  <w:style w:type="character" w:styleId="FootnoteReference">
    <w:name w:val="footnote reference"/>
    <w:basedOn w:val="DefaultParagraphFont"/>
    <w:uiPriority w:val="99"/>
    <w:semiHidden/>
    <w:unhideWhenUsed/>
    <w:rsid w:val="00F84952"/>
    <w:rPr>
      <w:vertAlign w:val="superscript"/>
    </w:rPr>
  </w:style>
  <w:style w:type="paragraph" w:styleId="ListParagraph">
    <w:name w:val="List Paragraph"/>
    <w:basedOn w:val="Normal"/>
    <w:uiPriority w:val="34"/>
    <w:qFormat/>
    <w:rsid w:val="00F84952"/>
    <w:pPr>
      <w:ind w:left="720"/>
      <w:contextualSpacing/>
    </w:pPr>
  </w:style>
  <w:style w:type="paragraph" w:styleId="NoSpacing">
    <w:name w:val="No Spacing"/>
    <w:uiPriority w:val="1"/>
    <w:qFormat/>
    <w:rsid w:val="00F84952"/>
    <w:pPr>
      <w:spacing w:after="0" w:line="240" w:lineRule="auto"/>
    </w:pPr>
  </w:style>
  <w:style w:type="table" w:styleId="TableGrid">
    <w:name w:val="Table Grid"/>
    <w:basedOn w:val="TableNormal"/>
    <w:uiPriority w:val="59"/>
    <w:rsid w:val="00F8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952"/>
    <w:pPr>
      <w:tabs>
        <w:tab w:val="center" w:pos="4535"/>
        <w:tab w:val="right" w:pos="9071"/>
      </w:tabs>
      <w:spacing w:after="0" w:line="240" w:lineRule="auto"/>
    </w:pPr>
  </w:style>
  <w:style w:type="character" w:customStyle="1" w:styleId="HeaderChar">
    <w:name w:val="Header Char"/>
    <w:basedOn w:val="DefaultParagraphFont"/>
    <w:link w:val="Header"/>
    <w:uiPriority w:val="99"/>
    <w:rsid w:val="00F84952"/>
  </w:style>
  <w:style w:type="paragraph" w:styleId="Footer">
    <w:name w:val="footer"/>
    <w:basedOn w:val="Normal"/>
    <w:link w:val="FooterChar"/>
    <w:uiPriority w:val="99"/>
    <w:unhideWhenUsed/>
    <w:rsid w:val="00F84952"/>
    <w:pPr>
      <w:tabs>
        <w:tab w:val="center" w:pos="4535"/>
        <w:tab w:val="right" w:pos="9071"/>
      </w:tabs>
      <w:spacing w:after="0" w:line="240" w:lineRule="auto"/>
    </w:pPr>
  </w:style>
  <w:style w:type="character" w:customStyle="1" w:styleId="FooterChar">
    <w:name w:val="Footer Char"/>
    <w:basedOn w:val="DefaultParagraphFont"/>
    <w:link w:val="Footer"/>
    <w:uiPriority w:val="99"/>
    <w:rsid w:val="00F84952"/>
  </w:style>
  <w:style w:type="table" w:customStyle="1" w:styleId="TableGrid1">
    <w:name w:val="Table Grid1"/>
    <w:basedOn w:val="TableNormal"/>
    <w:next w:val="TableGrid"/>
    <w:uiPriority w:val="59"/>
    <w:rsid w:val="00F849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4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952"/>
    <w:rPr>
      <w:sz w:val="20"/>
      <w:szCs w:val="20"/>
    </w:rPr>
  </w:style>
  <w:style w:type="character" w:styleId="FootnoteReference">
    <w:name w:val="footnote reference"/>
    <w:basedOn w:val="DefaultParagraphFont"/>
    <w:uiPriority w:val="99"/>
    <w:semiHidden/>
    <w:unhideWhenUsed/>
    <w:rsid w:val="00F84952"/>
    <w:rPr>
      <w:vertAlign w:val="superscript"/>
    </w:rPr>
  </w:style>
  <w:style w:type="paragraph" w:styleId="ListParagraph">
    <w:name w:val="List Paragraph"/>
    <w:basedOn w:val="Normal"/>
    <w:uiPriority w:val="34"/>
    <w:qFormat/>
    <w:rsid w:val="00F84952"/>
    <w:pPr>
      <w:ind w:left="720"/>
      <w:contextualSpacing/>
    </w:pPr>
  </w:style>
  <w:style w:type="paragraph" w:styleId="NoSpacing">
    <w:name w:val="No Spacing"/>
    <w:uiPriority w:val="1"/>
    <w:qFormat/>
    <w:rsid w:val="00F84952"/>
    <w:pPr>
      <w:spacing w:after="0" w:line="240" w:lineRule="auto"/>
    </w:pPr>
  </w:style>
  <w:style w:type="table" w:styleId="TableGrid">
    <w:name w:val="Table Grid"/>
    <w:basedOn w:val="TableNormal"/>
    <w:uiPriority w:val="59"/>
    <w:rsid w:val="00F8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952"/>
    <w:pPr>
      <w:tabs>
        <w:tab w:val="center" w:pos="4535"/>
        <w:tab w:val="right" w:pos="9071"/>
      </w:tabs>
      <w:spacing w:after="0" w:line="240" w:lineRule="auto"/>
    </w:pPr>
  </w:style>
  <w:style w:type="character" w:customStyle="1" w:styleId="HeaderChar">
    <w:name w:val="Header Char"/>
    <w:basedOn w:val="DefaultParagraphFont"/>
    <w:link w:val="Header"/>
    <w:uiPriority w:val="99"/>
    <w:rsid w:val="00F84952"/>
  </w:style>
  <w:style w:type="paragraph" w:styleId="Footer">
    <w:name w:val="footer"/>
    <w:basedOn w:val="Normal"/>
    <w:link w:val="FooterChar"/>
    <w:uiPriority w:val="99"/>
    <w:unhideWhenUsed/>
    <w:rsid w:val="00F84952"/>
    <w:pPr>
      <w:tabs>
        <w:tab w:val="center" w:pos="4535"/>
        <w:tab w:val="right" w:pos="9071"/>
      </w:tabs>
      <w:spacing w:after="0" w:line="240" w:lineRule="auto"/>
    </w:pPr>
  </w:style>
  <w:style w:type="character" w:customStyle="1" w:styleId="FooterChar">
    <w:name w:val="Footer Char"/>
    <w:basedOn w:val="DefaultParagraphFont"/>
    <w:link w:val="Footer"/>
    <w:uiPriority w:val="99"/>
    <w:rsid w:val="00F84952"/>
  </w:style>
  <w:style w:type="table" w:customStyle="1" w:styleId="TableGrid1">
    <w:name w:val="Table Grid1"/>
    <w:basedOn w:val="TableNormal"/>
    <w:next w:val="TableGrid"/>
    <w:uiPriority w:val="59"/>
    <w:rsid w:val="00F849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3</cp:revision>
  <dcterms:created xsi:type="dcterms:W3CDTF">2018-08-09T09:27:00Z</dcterms:created>
  <dcterms:modified xsi:type="dcterms:W3CDTF">2018-08-09T09:33:00Z</dcterms:modified>
</cp:coreProperties>
</file>