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9615" w14:textId="77777777" w:rsidR="004E7CEA" w:rsidRPr="00574D1C" w:rsidRDefault="004E7CEA" w:rsidP="004E7CEA">
      <w:pPr>
        <w:jc w:val="center"/>
        <w:rPr>
          <w:sz w:val="20"/>
          <w:szCs w:val="20"/>
          <w:lang w:val="sr-Cyrl-RS"/>
        </w:rPr>
      </w:pPr>
      <w:bookmarkStart w:id="0" w:name="_GoBack"/>
      <w:bookmarkEnd w:id="0"/>
    </w:p>
    <w:p w14:paraId="2FE063FE" w14:textId="77777777" w:rsidR="004E7CEA" w:rsidRPr="00574D1C" w:rsidRDefault="004E7CEA" w:rsidP="004E7CEA">
      <w:pPr>
        <w:jc w:val="center"/>
        <w:rPr>
          <w:sz w:val="20"/>
          <w:szCs w:val="20"/>
          <w:lang w:val="sr-Cyrl-RS"/>
        </w:rPr>
      </w:pPr>
    </w:p>
    <w:p w14:paraId="28BC0545" w14:textId="77777777" w:rsidR="000A0AEB" w:rsidRPr="00574D1C" w:rsidRDefault="000A0AEB" w:rsidP="004E7CEA">
      <w:pPr>
        <w:jc w:val="center"/>
        <w:rPr>
          <w:b/>
          <w:color w:val="70AD47" w:themeColor="accent6"/>
          <w:sz w:val="20"/>
          <w:szCs w:val="20"/>
          <w:lang w:val="sr-Cyrl-RS"/>
        </w:rPr>
      </w:pPr>
    </w:p>
    <w:p w14:paraId="5022EA01" w14:textId="77777777" w:rsidR="004E7CEA" w:rsidRPr="00574D1C" w:rsidRDefault="004E7CEA" w:rsidP="004E7CEA">
      <w:pPr>
        <w:jc w:val="center"/>
        <w:rPr>
          <w:b/>
          <w:color w:val="808080" w:themeColor="background1" w:themeShade="80"/>
          <w:sz w:val="20"/>
          <w:szCs w:val="20"/>
          <w:lang w:val="sr-Cyrl-RS"/>
        </w:rPr>
      </w:pPr>
    </w:p>
    <w:p w14:paraId="3B740FAC" w14:textId="5C3BD927" w:rsidR="00D1130F" w:rsidRPr="00574D1C" w:rsidRDefault="0078266E" w:rsidP="004E7CEA">
      <w:pPr>
        <w:jc w:val="center"/>
        <w:rPr>
          <w:b/>
          <w:sz w:val="20"/>
          <w:szCs w:val="20"/>
          <w:lang w:val="sr-Cyrl-RS"/>
        </w:rPr>
      </w:pPr>
      <w:r w:rsidRPr="00574D1C">
        <w:rPr>
          <w:b/>
          <w:sz w:val="20"/>
          <w:szCs w:val="20"/>
          <w:lang w:val="sr-Cyrl-RS"/>
        </w:rPr>
        <w:t>Република Србија</w:t>
      </w:r>
    </w:p>
    <w:p w14:paraId="5E3BD879" w14:textId="77777777" w:rsidR="005A79B2" w:rsidRPr="00574D1C" w:rsidRDefault="005A79B2" w:rsidP="005A79B2">
      <w:pPr>
        <w:jc w:val="center"/>
        <w:rPr>
          <w:b/>
          <w:color w:val="0070C0"/>
          <w:sz w:val="20"/>
          <w:szCs w:val="20"/>
          <w:lang w:val="sr-Cyrl-RS"/>
        </w:rPr>
      </w:pPr>
      <w:bookmarkStart w:id="1" w:name="_Hlk35124600"/>
    </w:p>
    <w:bookmarkEnd w:id="1"/>
    <w:p w14:paraId="70947C9B" w14:textId="2C52ABA8" w:rsidR="005A79B2" w:rsidRDefault="005A79B2" w:rsidP="005A79B2">
      <w:pPr>
        <w:jc w:val="center"/>
        <w:rPr>
          <w:b/>
          <w:sz w:val="20"/>
          <w:szCs w:val="20"/>
          <w:lang w:val="sr-Cyrl-RS"/>
        </w:rPr>
      </w:pPr>
    </w:p>
    <w:p w14:paraId="4CCD4682" w14:textId="791E952B" w:rsidR="00794EB5" w:rsidRPr="00794EB5" w:rsidRDefault="00794EB5" w:rsidP="005A79B2">
      <w:pPr>
        <w:jc w:val="center"/>
        <w:rPr>
          <w:b/>
          <w:sz w:val="20"/>
          <w:szCs w:val="20"/>
          <w:lang w:val="sr-Cyrl-RS"/>
        </w:rPr>
      </w:pPr>
      <w:r>
        <w:rPr>
          <w:b/>
          <w:sz w:val="20"/>
          <w:szCs w:val="20"/>
          <w:lang w:val="sr-Cyrl-RS"/>
        </w:rPr>
        <w:t xml:space="preserve">Пројекат „Хитан одговор </w:t>
      </w:r>
      <w:r w:rsidR="006A1206">
        <w:rPr>
          <w:b/>
          <w:sz w:val="20"/>
          <w:szCs w:val="20"/>
          <w:lang w:val="sr-Cyrl-RS"/>
        </w:rPr>
        <w:t xml:space="preserve">Републике </w:t>
      </w:r>
      <w:r>
        <w:rPr>
          <w:b/>
          <w:sz w:val="20"/>
          <w:szCs w:val="20"/>
          <w:lang w:val="sr-Cyrl-RS"/>
        </w:rPr>
        <w:t>Србије на ковид-19“</w:t>
      </w:r>
    </w:p>
    <w:p w14:paraId="16799474" w14:textId="77777777" w:rsidR="004E7CEA" w:rsidRPr="00574D1C" w:rsidRDefault="004E7CEA" w:rsidP="004E7CEA">
      <w:pPr>
        <w:jc w:val="center"/>
        <w:rPr>
          <w:b/>
          <w:sz w:val="20"/>
          <w:szCs w:val="20"/>
          <w:lang w:val="sr-Cyrl-RS"/>
        </w:rPr>
      </w:pPr>
    </w:p>
    <w:p w14:paraId="5140D665" w14:textId="427E7285" w:rsidR="0078266E" w:rsidRPr="00574D1C" w:rsidRDefault="0078266E" w:rsidP="0078266E">
      <w:pPr>
        <w:jc w:val="center"/>
        <w:rPr>
          <w:b/>
          <w:color w:val="4472C4" w:themeColor="accent1"/>
          <w:sz w:val="20"/>
          <w:szCs w:val="20"/>
          <w:lang w:val="sr-Cyrl-RS"/>
        </w:rPr>
      </w:pPr>
      <w:r w:rsidRPr="00574D1C">
        <w:rPr>
          <w:b/>
          <w:color w:val="4472C4" w:themeColor="accent1"/>
          <w:sz w:val="20"/>
          <w:szCs w:val="20"/>
          <w:lang w:val="sr-Cyrl-RS"/>
        </w:rPr>
        <w:t>ПЛАН ОБАВЕЗА НА ПОЉУ ЖИВОТНЕ СРЕДИНЕ И СОЦИЈАЛНИХ ПИТАЊА</w:t>
      </w:r>
    </w:p>
    <w:p w14:paraId="3F6DB9A2" w14:textId="05C7255F" w:rsidR="0075364D" w:rsidRPr="00574D1C" w:rsidRDefault="004E7CEA" w:rsidP="004E7CEA">
      <w:pPr>
        <w:jc w:val="center"/>
        <w:rPr>
          <w:b/>
          <w:color w:val="4472C4" w:themeColor="accent1"/>
          <w:sz w:val="20"/>
          <w:szCs w:val="20"/>
          <w:lang w:val="sr-Cyrl-RS"/>
        </w:rPr>
      </w:pPr>
      <w:r w:rsidRPr="00574D1C">
        <w:rPr>
          <w:b/>
          <w:color w:val="4472C4" w:themeColor="accent1"/>
          <w:sz w:val="20"/>
          <w:szCs w:val="20"/>
          <w:lang w:val="sr-Cyrl-RS"/>
        </w:rPr>
        <w:t>(ESCP)</w:t>
      </w:r>
    </w:p>
    <w:p w14:paraId="1D53A4E5" w14:textId="2CE9B464" w:rsidR="00A04FE4" w:rsidRPr="00574D1C" w:rsidRDefault="00A04FE4" w:rsidP="00A04FE4">
      <w:pPr>
        <w:jc w:val="center"/>
        <w:rPr>
          <w:b/>
          <w:sz w:val="20"/>
          <w:szCs w:val="20"/>
          <w:lang w:val="sr-Cyrl-RS"/>
        </w:rPr>
      </w:pPr>
      <w:r w:rsidRPr="00574D1C">
        <w:rPr>
          <w:b/>
          <w:sz w:val="20"/>
          <w:szCs w:val="20"/>
          <w:lang w:val="sr-Cyrl-RS"/>
        </w:rPr>
        <w:t>Нацрт</w:t>
      </w:r>
    </w:p>
    <w:p w14:paraId="43F15B98" w14:textId="77777777" w:rsidR="00A04FE4" w:rsidRPr="00574D1C" w:rsidRDefault="00A04FE4" w:rsidP="004E7CEA">
      <w:pPr>
        <w:jc w:val="center"/>
        <w:rPr>
          <w:b/>
          <w:color w:val="4472C4" w:themeColor="accent1"/>
          <w:sz w:val="20"/>
          <w:szCs w:val="20"/>
          <w:lang w:val="sr-Cyrl-RS"/>
        </w:rPr>
      </w:pPr>
    </w:p>
    <w:p w14:paraId="6F7746A1" w14:textId="77777777" w:rsidR="000A0AEB" w:rsidRPr="00574D1C" w:rsidRDefault="000A0AEB" w:rsidP="004E7CEA">
      <w:pPr>
        <w:jc w:val="center"/>
        <w:rPr>
          <w:b/>
          <w:color w:val="4472C4" w:themeColor="accent1"/>
          <w:sz w:val="20"/>
          <w:szCs w:val="20"/>
          <w:lang w:val="sr-Cyrl-RS"/>
        </w:rPr>
      </w:pPr>
    </w:p>
    <w:p w14:paraId="4DDD72F7" w14:textId="70A4E46F" w:rsidR="0075364D" w:rsidRPr="00574D1C" w:rsidRDefault="00B20EA2" w:rsidP="004E7CEA">
      <w:pPr>
        <w:jc w:val="center"/>
        <w:rPr>
          <w:b/>
          <w:sz w:val="20"/>
          <w:szCs w:val="20"/>
          <w:lang w:val="sr-Cyrl-RS"/>
        </w:rPr>
      </w:pPr>
      <w:r w:rsidRPr="00574D1C">
        <w:rPr>
          <w:b/>
          <w:sz w:val="20"/>
          <w:szCs w:val="20"/>
          <w:lang w:val="sr-Cyrl-RS"/>
        </w:rPr>
        <w:t>24</w:t>
      </w:r>
      <w:r w:rsidR="0078266E" w:rsidRPr="00574D1C">
        <w:rPr>
          <w:b/>
          <w:sz w:val="20"/>
          <w:szCs w:val="20"/>
          <w:lang w:val="sr-Cyrl-RS"/>
        </w:rPr>
        <w:t>. април</w:t>
      </w:r>
      <w:r w:rsidR="00D1130F" w:rsidRPr="00574D1C">
        <w:rPr>
          <w:b/>
          <w:sz w:val="20"/>
          <w:szCs w:val="20"/>
          <w:lang w:val="sr-Cyrl-RS"/>
        </w:rPr>
        <w:t xml:space="preserve"> 2020</w:t>
      </w:r>
      <w:r w:rsidR="0078266E" w:rsidRPr="00574D1C">
        <w:rPr>
          <w:b/>
          <w:sz w:val="20"/>
          <w:szCs w:val="20"/>
          <w:lang w:val="sr-Cyrl-RS"/>
        </w:rPr>
        <w:t>.</w:t>
      </w:r>
    </w:p>
    <w:p w14:paraId="43905DE6" w14:textId="77777777" w:rsidR="00A54559" w:rsidRPr="00574D1C" w:rsidRDefault="004E7CEA" w:rsidP="004E7CEA">
      <w:pPr>
        <w:jc w:val="center"/>
        <w:rPr>
          <w:sz w:val="20"/>
          <w:szCs w:val="20"/>
          <w:lang w:val="sr-Cyrl-RS"/>
        </w:rPr>
      </w:pPr>
      <w:r w:rsidRPr="00574D1C">
        <w:rPr>
          <w:sz w:val="20"/>
          <w:szCs w:val="20"/>
          <w:lang w:val="sr-Cyrl-RS"/>
        </w:rPr>
        <w:br w:type="page"/>
      </w:r>
    </w:p>
    <w:p w14:paraId="146F172D" w14:textId="77777777" w:rsidR="000A0AEB" w:rsidRPr="00574D1C" w:rsidRDefault="000A0AEB" w:rsidP="004E7CEA">
      <w:pPr>
        <w:jc w:val="center"/>
        <w:rPr>
          <w:b/>
          <w:sz w:val="20"/>
          <w:szCs w:val="20"/>
          <w:lang w:val="sr-Cyrl-RS"/>
        </w:rPr>
      </w:pPr>
    </w:p>
    <w:p w14:paraId="5CC35149" w14:textId="634C347B" w:rsidR="004E7CEA" w:rsidRPr="00574D1C" w:rsidRDefault="009E0AF7" w:rsidP="004E7CEA">
      <w:pPr>
        <w:jc w:val="center"/>
        <w:rPr>
          <w:b/>
          <w:iCs/>
          <w:sz w:val="20"/>
          <w:szCs w:val="20"/>
          <w:lang w:val="sr-Cyrl-RS"/>
        </w:rPr>
      </w:pPr>
      <w:r w:rsidRPr="00574D1C">
        <w:rPr>
          <w:b/>
          <w:iCs/>
          <w:sz w:val="20"/>
          <w:szCs w:val="20"/>
          <w:lang w:val="sr-Cyrl-RS"/>
        </w:rPr>
        <w:t>ПЛАН ОБАВЕЗА НА ПОЉУ ЖИВОТНЕ СРЕДИНЕ И СОЦИЈАЛНИХ ПИТАЊА</w:t>
      </w:r>
    </w:p>
    <w:p w14:paraId="4C125388" w14:textId="77777777" w:rsidR="000A0AEB" w:rsidRPr="00574D1C" w:rsidRDefault="000A0AEB" w:rsidP="004E7CEA">
      <w:pPr>
        <w:jc w:val="center"/>
        <w:rPr>
          <w:b/>
          <w:i/>
          <w:iCs/>
          <w:sz w:val="20"/>
          <w:szCs w:val="20"/>
          <w:lang w:val="sr-Cyrl-RS"/>
        </w:rPr>
      </w:pPr>
    </w:p>
    <w:p w14:paraId="36124036" w14:textId="21586C2A" w:rsidR="00144347" w:rsidRPr="00574D1C" w:rsidRDefault="00144347" w:rsidP="00F8178A">
      <w:pPr>
        <w:pStyle w:val="ListParagraph"/>
        <w:numPr>
          <w:ilvl w:val="0"/>
          <w:numId w:val="16"/>
        </w:numPr>
        <w:rPr>
          <w:sz w:val="20"/>
          <w:szCs w:val="20"/>
          <w:lang w:val="sr-Cyrl-RS"/>
        </w:rPr>
      </w:pPr>
      <w:r w:rsidRPr="00574D1C">
        <w:rPr>
          <w:sz w:val="20"/>
          <w:szCs w:val="20"/>
          <w:lang w:val="sr-Cyrl-RS"/>
        </w:rPr>
        <w:t>Републик</w:t>
      </w:r>
      <w:r w:rsidR="0071781B">
        <w:rPr>
          <w:sz w:val="20"/>
          <w:szCs w:val="20"/>
          <w:lang w:val="sr-Cyrl-RS"/>
        </w:rPr>
        <w:t>а</w:t>
      </w:r>
      <w:r w:rsidRPr="00574D1C">
        <w:rPr>
          <w:sz w:val="20"/>
          <w:szCs w:val="20"/>
          <w:lang w:val="sr-Cyrl-RS"/>
        </w:rPr>
        <w:t xml:space="preserve"> </w:t>
      </w:r>
      <w:r w:rsidR="0071781B" w:rsidRPr="00574D1C">
        <w:rPr>
          <w:sz w:val="20"/>
          <w:szCs w:val="20"/>
          <w:lang w:val="sr-Cyrl-RS"/>
        </w:rPr>
        <w:t>Србиј</w:t>
      </w:r>
      <w:r w:rsidR="0071781B">
        <w:rPr>
          <w:sz w:val="20"/>
          <w:szCs w:val="20"/>
          <w:lang w:val="sr-Cyrl-RS"/>
        </w:rPr>
        <w:t>а</w:t>
      </w:r>
      <w:r w:rsidR="0071781B" w:rsidRPr="00574D1C">
        <w:rPr>
          <w:sz w:val="20"/>
          <w:szCs w:val="20"/>
          <w:lang w:val="sr-Cyrl-RS"/>
        </w:rPr>
        <w:t xml:space="preserve"> </w:t>
      </w:r>
      <w:r w:rsidRPr="00574D1C">
        <w:rPr>
          <w:sz w:val="20"/>
          <w:szCs w:val="20"/>
          <w:lang w:val="sr-Cyrl-RS"/>
        </w:rPr>
        <w:t xml:space="preserve">(у даљем тексту „Зајмопримац“) </w:t>
      </w:r>
      <w:r w:rsidR="0071781B">
        <w:rPr>
          <w:sz w:val="20"/>
          <w:szCs w:val="20"/>
          <w:lang w:val="sr-Cyrl-RS"/>
        </w:rPr>
        <w:t>спроводи</w:t>
      </w:r>
      <w:r w:rsidR="0071781B" w:rsidRPr="00574D1C">
        <w:rPr>
          <w:sz w:val="20"/>
          <w:szCs w:val="20"/>
          <w:lang w:val="sr-Cyrl-RS"/>
        </w:rPr>
        <w:t xml:space="preserve"> </w:t>
      </w:r>
      <w:r w:rsidRPr="00574D1C">
        <w:rPr>
          <w:sz w:val="20"/>
          <w:szCs w:val="20"/>
          <w:lang w:val="sr-Cyrl-RS"/>
        </w:rPr>
        <w:t xml:space="preserve">Пројекат </w:t>
      </w:r>
      <w:r w:rsidR="00794EB5">
        <w:rPr>
          <w:sz w:val="20"/>
          <w:szCs w:val="20"/>
          <w:lang w:val="sr-Cyrl-RS"/>
        </w:rPr>
        <w:t xml:space="preserve"> „Хитан одговор </w:t>
      </w:r>
      <w:r w:rsidR="00E432BA">
        <w:rPr>
          <w:sz w:val="20"/>
          <w:szCs w:val="20"/>
          <w:lang w:val="sr-Cyrl-RS"/>
        </w:rPr>
        <w:t xml:space="preserve">Републике </w:t>
      </w:r>
      <w:r w:rsidR="00794EB5">
        <w:rPr>
          <w:sz w:val="20"/>
          <w:szCs w:val="20"/>
          <w:lang w:val="sr-Cyrl-RS"/>
        </w:rPr>
        <w:t xml:space="preserve">Србије на </w:t>
      </w:r>
      <w:r w:rsidRPr="00574D1C">
        <w:rPr>
          <w:sz w:val="20"/>
          <w:szCs w:val="20"/>
          <w:lang w:val="sr-Cyrl-RS"/>
        </w:rPr>
        <w:t>ковид-19</w:t>
      </w:r>
      <w:r w:rsidR="00794EB5">
        <w:rPr>
          <w:sz w:val="20"/>
          <w:szCs w:val="20"/>
          <w:lang w:val="sr-Cyrl-RS"/>
        </w:rPr>
        <w:t>“</w:t>
      </w:r>
      <w:r w:rsidRPr="00574D1C">
        <w:rPr>
          <w:sz w:val="20"/>
          <w:szCs w:val="20"/>
          <w:lang w:val="sr-Cyrl-RS"/>
        </w:rPr>
        <w:t xml:space="preserve"> (у даљем тексту </w:t>
      </w:r>
      <w:r w:rsidRPr="00D00DC7">
        <w:rPr>
          <w:b/>
          <w:bCs/>
          <w:sz w:val="20"/>
          <w:szCs w:val="20"/>
          <w:lang w:val="sr-Cyrl-RS"/>
        </w:rPr>
        <w:t>„Пројекат“</w:t>
      </w:r>
      <w:r w:rsidRPr="00574D1C">
        <w:rPr>
          <w:sz w:val="20"/>
          <w:szCs w:val="20"/>
          <w:lang w:val="sr-Cyrl-RS"/>
        </w:rPr>
        <w:t xml:space="preserve">) уз ангажовање Министарства здравља (МЗ) и одговарајуће Јединице за координацију пројекта (ЈКП). Међународна банка за обнову и развој (у даљем тексту „Банка“) </w:t>
      </w:r>
      <w:r w:rsidR="00095962">
        <w:rPr>
          <w:sz w:val="20"/>
          <w:szCs w:val="20"/>
          <w:lang w:val="sr-Cyrl-RS"/>
        </w:rPr>
        <w:t xml:space="preserve">изјављује да је </w:t>
      </w:r>
      <w:r w:rsidRPr="00574D1C">
        <w:rPr>
          <w:sz w:val="20"/>
          <w:szCs w:val="20"/>
          <w:lang w:val="sr-Cyrl-RS"/>
        </w:rPr>
        <w:t>сагласна да обезбеди финансирање за Пројекат.</w:t>
      </w:r>
    </w:p>
    <w:p w14:paraId="42F21581" w14:textId="0E8FC8AE" w:rsidR="00144347" w:rsidRPr="00574D1C" w:rsidRDefault="00144347" w:rsidP="001D4DED">
      <w:pPr>
        <w:pStyle w:val="ListParagraph"/>
        <w:numPr>
          <w:ilvl w:val="0"/>
          <w:numId w:val="16"/>
        </w:numPr>
        <w:rPr>
          <w:sz w:val="20"/>
          <w:szCs w:val="20"/>
          <w:lang w:val="sr-Cyrl-RS"/>
        </w:rPr>
      </w:pPr>
      <w:r w:rsidRPr="00574D1C">
        <w:rPr>
          <w:sz w:val="20"/>
          <w:szCs w:val="20"/>
          <w:lang w:val="sr-Cyrl-RS"/>
        </w:rPr>
        <w:t>Зајмопримац спроводи одговарајуће мере и радње у циљу реализације Пројекта у складу са стандардима везаним за животну средину и социјална питања (</w:t>
      </w:r>
      <w:r w:rsidRPr="00574D1C">
        <w:rPr>
          <w:b/>
          <w:bCs/>
          <w:sz w:val="20"/>
          <w:szCs w:val="20"/>
          <w:lang w:val="sr-Cyrl-RS"/>
        </w:rPr>
        <w:t>ESS</w:t>
      </w:r>
      <w:r w:rsidRPr="00574D1C">
        <w:rPr>
          <w:sz w:val="20"/>
          <w:szCs w:val="20"/>
          <w:lang w:val="sr-Cyrl-RS"/>
        </w:rPr>
        <w:t>). У овом Плану обавеза на пољу животне средине и социјалних питања (</w:t>
      </w:r>
      <w:r w:rsidRPr="00574D1C">
        <w:rPr>
          <w:b/>
          <w:bCs/>
          <w:sz w:val="20"/>
          <w:szCs w:val="20"/>
          <w:lang w:val="sr-Cyrl-RS"/>
        </w:rPr>
        <w:t>ESCP</w:t>
      </w:r>
      <w:r w:rsidRPr="00574D1C">
        <w:rPr>
          <w:sz w:val="20"/>
          <w:szCs w:val="20"/>
          <w:lang w:val="sr-Cyrl-RS"/>
        </w:rPr>
        <w:t xml:space="preserve">) </w:t>
      </w:r>
      <w:r w:rsidR="00691718">
        <w:rPr>
          <w:sz w:val="20"/>
          <w:szCs w:val="20"/>
          <w:lang w:val="sr-Cyrl-RS"/>
        </w:rPr>
        <w:t>наведене су</w:t>
      </w:r>
      <w:r w:rsidRPr="00574D1C">
        <w:rPr>
          <w:sz w:val="20"/>
          <w:szCs w:val="20"/>
          <w:lang w:val="sr-Cyrl-RS"/>
        </w:rPr>
        <w:t xml:space="preserve"> одговарајуће мере и радње и конкретни документи и планови, као и рокови за њихово спровођење односно усвајање.</w:t>
      </w:r>
    </w:p>
    <w:p w14:paraId="3090608D" w14:textId="6ABB8D08" w:rsidR="00144347" w:rsidRPr="00574D1C" w:rsidRDefault="00144347" w:rsidP="00F95D47">
      <w:pPr>
        <w:pStyle w:val="ListParagraph"/>
        <w:numPr>
          <w:ilvl w:val="0"/>
          <w:numId w:val="16"/>
        </w:numPr>
        <w:rPr>
          <w:sz w:val="20"/>
          <w:szCs w:val="20"/>
          <w:lang w:val="sr-Cyrl-RS"/>
        </w:rPr>
      </w:pPr>
      <w:r w:rsidRPr="00574D1C">
        <w:rPr>
          <w:sz w:val="20"/>
          <w:szCs w:val="20"/>
          <w:lang w:val="sr-Cyrl-RS"/>
        </w:rPr>
        <w:t>Зајмопримац одговара за поштовање сви</w:t>
      </w:r>
      <w:r w:rsidR="008D73AE">
        <w:rPr>
          <w:sz w:val="20"/>
          <w:szCs w:val="20"/>
          <w:lang w:val="sr-Cyrl-RS"/>
        </w:rPr>
        <w:t>х</w:t>
      </w:r>
      <w:r w:rsidRPr="00574D1C">
        <w:rPr>
          <w:sz w:val="20"/>
          <w:szCs w:val="20"/>
          <w:lang w:val="sr-Cyrl-RS"/>
        </w:rPr>
        <w:t xml:space="preserve"> услов</w:t>
      </w:r>
      <w:r w:rsidR="008D73AE">
        <w:rPr>
          <w:sz w:val="20"/>
          <w:szCs w:val="20"/>
          <w:lang w:val="sr-Cyrl-RS"/>
        </w:rPr>
        <w:t>а</w:t>
      </w:r>
      <w:r w:rsidRPr="00574D1C">
        <w:rPr>
          <w:sz w:val="20"/>
          <w:szCs w:val="20"/>
          <w:lang w:val="sr-Cyrl-RS"/>
        </w:rPr>
        <w:t xml:space="preserve"> из ESCP-а, чак и када конкретне мере и радње спроводи Министарство</w:t>
      </w:r>
      <w:r w:rsidR="004E6E6B">
        <w:rPr>
          <w:sz w:val="20"/>
          <w:szCs w:val="20"/>
          <w:lang w:val="sr-Cyrl-RS"/>
        </w:rPr>
        <w:t xml:space="preserve"> или Јединица</w:t>
      </w:r>
      <w:r w:rsidRPr="00574D1C">
        <w:rPr>
          <w:sz w:val="20"/>
          <w:szCs w:val="20"/>
          <w:lang w:val="sr-Cyrl-RS"/>
        </w:rPr>
        <w:t xml:space="preserve"> из тачке 1.</w:t>
      </w:r>
    </w:p>
    <w:p w14:paraId="5985EC58" w14:textId="643FF2A7" w:rsidR="00144347" w:rsidRPr="00574D1C" w:rsidRDefault="00144347" w:rsidP="00F8178A">
      <w:pPr>
        <w:pStyle w:val="ListParagraph"/>
        <w:numPr>
          <w:ilvl w:val="0"/>
          <w:numId w:val="16"/>
        </w:numPr>
        <w:rPr>
          <w:sz w:val="20"/>
          <w:szCs w:val="20"/>
          <w:lang w:val="sr-Cyrl-RS"/>
        </w:rPr>
      </w:pPr>
      <w:r w:rsidRPr="00574D1C">
        <w:rPr>
          <w:sz w:val="20"/>
          <w:szCs w:val="20"/>
          <w:lang w:val="sr-Cyrl-RS"/>
        </w:rPr>
        <w:t>Зајмопримац прати спровођење одговарајућих мера и радњи из овог ESCP-а и о њему извештава Банку, у складу са ESCP-ом и условима уговора, а Банка прати и оцењује напредак и спровођење одговарајућих мера и радњи током читавог периода реализације Пројекта.</w:t>
      </w:r>
    </w:p>
    <w:p w14:paraId="201789F8" w14:textId="3E939400" w:rsidR="00144347" w:rsidRPr="00574D1C" w:rsidRDefault="00144347" w:rsidP="00784976">
      <w:pPr>
        <w:pStyle w:val="ListParagraph"/>
        <w:numPr>
          <w:ilvl w:val="0"/>
          <w:numId w:val="16"/>
        </w:numPr>
        <w:rPr>
          <w:sz w:val="20"/>
          <w:szCs w:val="20"/>
          <w:lang w:val="sr-Cyrl-RS"/>
        </w:rPr>
      </w:pPr>
      <w:r w:rsidRPr="00574D1C">
        <w:rPr>
          <w:sz w:val="20"/>
          <w:szCs w:val="20"/>
          <w:lang w:val="sr-Cyrl-RS"/>
        </w:rPr>
        <w:t>Банка и Зајмопримац сагласно констатују да овај ESCP може бити с времена на време измењен током реализације Пројекта у циљу прилагођавања на промене Пројекта или непредвиђене околности, односно ради реаговања на оцене резултата Пројекта у складу са самим ESCP-ом. У тим случајевима, Зајмопримац са Банком усаглашава промене и уноси измене</w:t>
      </w:r>
      <w:r w:rsidR="00835935">
        <w:rPr>
          <w:sz w:val="20"/>
          <w:szCs w:val="20"/>
          <w:lang w:val="sr-Cyrl-RS"/>
        </w:rPr>
        <w:t xml:space="preserve"> у</w:t>
      </w:r>
      <w:r w:rsidRPr="00574D1C">
        <w:rPr>
          <w:sz w:val="20"/>
          <w:szCs w:val="20"/>
          <w:lang w:val="sr-Cyrl-RS"/>
        </w:rPr>
        <w:t xml:space="preserve"> ESCP тако да овај документ одражава те промене. Сагласност о изменама ESCP-а документује се разменом дописа које заједнички потписују Банка и Зајмопримац. Зајмопримац без одлагања објављује измењени ESCP.</w:t>
      </w:r>
    </w:p>
    <w:p w14:paraId="2EFFCA96" w14:textId="31348411" w:rsidR="00C35CAD" w:rsidRPr="00574D1C" w:rsidRDefault="00144347" w:rsidP="00784976">
      <w:pPr>
        <w:pStyle w:val="ListParagraph"/>
        <w:numPr>
          <w:ilvl w:val="0"/>
          <w:numId w:val="16"/>
        </w:numPr>
        <w:rPr>
          <w:sz w:val="20"/>
          <w:szCs w:val="20"/>
          <w:lang w:val="sr-Cyrl-RS"/>
        </w:rPr>
      </w:pPr>
      <w:r w:rsidRPr="00574D1C">
        <w:rPr>
          <w:sz w:val="20"/>
          <w:szCs w:val="20"/>
          <w:lang w:val="sr-Cyrl-RS"/>
        </w:rPr>
        <w:t>У случају да промене Пројекта, непредвиђене околности или резултати спровођења Пројекта за последицу имају промене ризика и утицаја у току спровођења Пројекта, Зајмопримац обезбеђује додатна средства, према потреби, за спровођење мера и радњи за отклањање тих ризика и утицаја</w:t>
      </w:r>
      <w:r w:rsidR="00784976" w:rsidRPr="00574D1C">
        <w:rPr>
          <w:sz w:val="20"/>
          <w:szCs w:val="20"/>
          <w:lang w:val="sr-Cyrl-RS"/>
        </w:rPr>
        <w:t>.</w:t>
      </w:r>
    </w:p>
    <w:p w14:paraId="662AEE8E" w14:textId="01187A7B" w:rsidR="00C35CAD" w:rsidRPr="00574D1C" w:rsidRDefault="00C35CAD" w:rsidP="00C35CAD">
      <w:pPr>
        <w:rPr>
          <w:sz w:val="20"/>
          <w:szCs w:val="20"/>
          <w:lang w:val="sr-Cyrl-RS"/>
        </w:rPr>
        <w:sectPr w:rsidR="00C35CAD" w:rsidRPr="00574D1C" w:rsidSect="0047550F">
          <w:headerReference w:type="even" r:id="rId11"/>
          <w:headerReference w:type="default" r:id="rId12"/>
          <w:footerReference w:type="default" r:id="rId13"/>
          <w:headerReference w:type="first" r:id="rId14"/>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840"/>
        <w:gridCol w:w="3600"/>
        <w:gridCol w:w="3150"/>
      </w:tblGrid>
      <w:tr w:rsidR="00ED3D08" w:rsidRPr="00574D1C" w14:paraId="09030FFB" w14:textId="77777777" w:rsidTr="00A01978">
        <w:trPr>
          <w:cantSplit/>
          <w:trHeight w:val="56"/>
          <w:tblHeader/>
        </w:trPr>
        <w:tc>
          <w:tcPr>
            <w:tcW w:w="7555" w:type="dxa"/>
            <w:gridSpan w:val="2"/>
            <w:tcBorders>
              <w:top w:val="single" w:sz="4" w:space="0" w:color="000000"/>
            </w:tcBorders>
            <w:shd w:val="clear" w:color="auto" w:fill="C5E0B3" w:themeFill="accent6" w:themeFillTint="66"/>
          </w:tcPr>
          <w:p w14:paraId="0C62ED1D" w14:textId="2E0198E1" w:rsidR="00ED3D08" w:rsidRPr="00574D1C" w:rsidRDefault="00D729F8" w:rsidP="005D394E">
            <w:pPr>
              <w:keepLines/>
              <w:widowControl w:val="0"/>
              <w:rPr>
                <w:rFonts w:cstheme="minorHAnsi"/>
                <w:b/>
                <w:sz w:val="20"/>
                <w:szCs w:val="20"/>
                <w:lang w:val="sr-Cyrl-RS"/>
              </w:rPr>
            </w:pPr>
            <w:r w:rsidRPr="00574D1C">
              <w:rPr>
                <w:rFonts w:cstheme="minorHAnsi"/>
                <w:b/>
                <w:sz w:val="20"/>
                <w:szCs w:val="20"/>
                <w:lang w:val="sr-Cyrl-RS"/>
              </w:rPr>
              <w:lastRenderedPageBreak/>
              <w:t>ОДГОВАРАЈУЋЕ МЕРЕ И РАДЊЕ</w:t>
            </w:r>
          </w:p>
        </w:tc>
        <w:tc>
          <w:tcPr>
            <w:tcW w:w="3600" w:type="dxa"/>
            <w:tcBorders>
              <w:top w:val="single" w:sz="4" w:space="0" w:color="000000"/>
            </w:tcBorders>
            <w:shd w:val="clear" w:color="auto" w:fill="C5E0B3" w:themeFill="accent6" w:themeFillTint="66"/>
          </w:tcPr>
          <w:p w14:paraId="0F9A1F85" w14:textId="2EF5511D" w:rsidR="00C549B1" w:rsidRPr="00574D1C" w:rsidRDefault="00D729F8" w:rsidP="003831F4">
            <w:pPr>
              <w:keepLines/>
              <w:widowControl w:val="0"/>
              <w:jc w:val="center"/>
              <w:rPr>
                <w:rFonts w:cstheme="minorHAnsi"/>
                <w:b/>
                <w:sz w:val="20"/>
                <w:szCs w:val="20"/>
                <w:lang w:val="sr-Cyrl-RS"/>
              </w:rPr>
            </w:pPr>
            <w:r w:rsidRPr="00574D1C">
              <w:rPr>
                <w:rFonts w:cstheme="minorHAnsi"/>
                <w:b/>
                <w:sz w:val="20"/>
                <w:szCs w:val="20"/>
                <w:lang w:val="sr-Cyrl-RS"/>
              </w:rPr>
              <w:t>РОК</w:t>
            </w:r>
          </w:p>
        </w:tc>
        <w:tc>
          <w:tcPr>
            <w:tcW w:w="3150" w:type="dxa"/>
            <w:tcBorders>
              <w:top w:val="single" w:sz="4" w:space="0" w:color="000000"/>
            </w:tcBorders>
            <w:shd w:val="clear" w:color="auto" w:fill="C5E0B3" w:themeFill="accent6" w:themeFillTint="66"/>
          </w:tcPr>
          <w:p w14:paraId="26B7F86D" w14:textId="64B47BC7" w:rsidR="00ED3D08" w:rsidRPr="00574D1C" w:rsidRDefault="00D729F8" w:rsidP="005D394E">
            <w:pPr>
              <w:keepLines/>
              <w:widowControl w:val="0"/>
              <w:rPr>
                <w:rFonts w:cstheme="minorHAnsi"/>
                <w:b/>
                <w:sz w:val="20"/>
                <w:szCs w:val="20"/>
                <w:lang w:val="sr-Cyrl-RS"/>
              </w:rPr>
            </w:pPr>
            <w:r w:rsidRPr="00574D1C">
              <w:rPr>
                <w:rFonts w:cstheme="minorHAnsi"/>
                <w:b/>
                <w:sz w:val="20"/>
                <w:szCs w:val="20"/>
                <w:lang w:val="sr-Cyrl-RS"/>
              </w:rPr>
              <w:t>НОСИЛАЦ АКТИВНОСТИ</w:t>
            </w:r>
          </w:p>
        </w:tc>
      </w:tr>
      <w:tr w:rsidR="00B1244E" w:rsidRPr="00574D1C" w14:paraId="449656D7" w14:textId="77777777" w:rsidTr="00594521">
        <w:trPr>
          <w:cantSplit/>
          <w:trHeight w:val="20"/>
        </w:trPr>
        <w:tc>
          <w:tcPr>
            <w:tcW w:w="14305" w:type="dxa"/>
            <w:gridSpan w:val="4"/>
            <w:tcBorders>
              <w:bottom w:val="single" w:sz="4" w:space="0" w:color="auto"/>
            </w:tcBorders>
            <w:shd w:val="clear" w:color="auto" w:fill="F4B083" w:themeFill="accent2" w:themeFillTint="99"/>
          </w:tcPr>
          <w:p w14:paraId="41D5DD44" w14:textId="056575C3" w:rsidR="00B1244E" w:rsidRPr="00574D1C" w:rsidDel="00777D1F" w:rsidRDefault="00623DB6" w:rsidP="005D394E">
            <w:pPr>
              <w:keepLines/>
              <w:widowControl w:val="0"/>
              <w:rPr>
                <w:rFonts w:cstheme="minorHAnsi"/>
                <w:sz w:val="20"/>
                <w:szCs w:val="20"/>
                <w:lang w:val="sr-Cyrl-RS"/>
              </w:rPr>
            </w:pPr>
            <w:r w:rsidRPr="00574D1C">
              <w:rPr>
                <w:rFonts w:cstheme="minorHAnsi"/>
                <w:b/>
                <w:sz w:val="20"/>
                <w:szCs w:val="20"/>
                <w:lang w:val="sr-Cyrl-RS"/>
              </w:rPr>
              <w:t>ПРАЋЕЊЕ И ИЗВЕШТАВАЊЕ</w:t>
            </w:r>
          </w:p>
        </w:tc>
      </w:tr>
      <w:tr w:rsidR="00502173" w:rsidRPr="00574D1C" w14:paraId="0FBBB46F" w14:textId="77777777" w:rsidTr="00A01978">
        <w:trPr>
          <w:cantSplit/>
          <w:trHeight w:val="20"/>
        </w:trPr>
        <w:tc>
          <w:tcPr>
            <w:tcW w:w="715" w:type="dxa"/>
            <w:tcBorders>
              <w:bottom w:val="single" w:sz="4" w:space="0" w:color="auto"/>
            </w:tcBorders>
          </w:tcPr>
          <w:p w14:paraId="07CC6849" w14:textId="346952FF" w:rsidR="00502173" w:rsidRPr="00574D1C" w:rsidRDefault="00502173" w:rsidP="005D394E">
            <w:pPr>
              <w:keepLines/>
              <w:widowControl w:val="0"/>
              <w:jc w:val="center"/>
              <w:rPr>
                <w:rFonts w:cstheme="minorHAnsi"/>
                <w:sz w:val="20"/>
                <w:szCs w:val="20"/>
                <w:lang w:val="sr-Cyrl-RS"/>
              </w:rPr>
            </w:pPr>
            <w:r w:rsidRPr="00574D1C">
              <w:rPr>
                <w:rFonts w:cstheme="minorHAnsi"/>
                <w:sz w:val="20"/>
                <w:szCs w:val="20"/>
                <w:lang w:val="sr-Cyrl-RS"/>
              </w:rPr>
              <w:t>A</w:t>
            </w:r>
          </w:p>
        </w:tc>
        <w:tc>
          <w:tcPr>
            <w:tcW w:w="6840" w:type="dxa"/>
            <w:tcBorders>
              <w:bottom w:val="single" w:sz="4" w:space="0" w:color="auto"/>
            </w:tcBorders>
          </w:tcPr>
          <w:p w14:paraId="47C9621B" w14:textId="61FBE083" w:rsidR="00AF47D7" w:rsidRPr="00574D1C" w:rsidRDefault="004A7BDE" w:rsidP="00D16B0C">
            <w:pPr>
              <w:keepLines/>
              <w:widowControl w:val="0"/>
              <w:rPr>
                <w:rFonts w:cstheme="minorHAnsi"/>
                <w:sz w:val="20"/>
                <w:szCs w:val="20"/>
                <w:lang w:val="sr-Cyrl-RS"/>
              </w:rPr>
            </w:pPr>
            <w:r w:rsidRPr="00574D1C">
              <w:rPr>
                <w:rFonts w:cstheme="minorHAnsi"/>
                <w:b/>
                <w:color w:val="4472C4" w:themeColor="accent1"/>
                <w:sz w:val="20"/>
                <w:szCs w:val="20"/>
                <w:lang w:val="sr-Cyrl-RS"/>
              </w:rPr>
              <w:t>РЕДОВНО ИЗВЕШТАВАЊЕ</w:t>
            </w:r>
            <w:r w:rsidR="003831F4" w:rsidRPr="00574D1C">
              <w:rPr>
                <w:rFonts w:cstheme="minorHAnsi"/>
                <w:sz w:val="20"/>
                <w:szCs w:val="20"/>
                <w:lang w:val="sr-Cyrl-RS"/>
              </w:rPr>
              <w:t xml:space="preserve">: </w:t>
            </w:r>
            <w:r w:rsidR="009E62F1" w:rsidRPr="00574D1C">
              <w:rPr>
                <w:rFonts w:cstheme="minorHAnsi"/>
                <w:sz w:val="20"/>
                <w:szCs w:val="20"/>
                <w:lang w:val="sr-Cyrl-RS"/>
              </w:rPr>
              <w:t>Припрема и достављање Банци редовних извештаја о праћењу резултата Пројекта у погледу питања животне средине, социјалних питања и питања безбедности и здравља на раду, укључујући нарочито спровођење ESCP-а, статус припреме и спровођења докумената везаних за питања животне средине и социјалних питања предвиђених ESCP-ом, активностима ангажмана са актерима и функционисања механизма за решавање притужби.</w:t>
            </w:r>
          </w:p>
        </w:tc>
        <w:tc>
          <w:tcPr>
            <w:tcW w:w="3600" w:type="dxa"/>
            <w:tcBorders>
              <w:bottom w:val="single" w:sz="4" w:space="0" w:color="auto"/>
            </w:tcBorders>
          </w:tcPr>
          <w:p w14:paraId="19A80186" w14:textId="50120344" w:rsidR="00502173" w:rsidRPr="00574D1C" w:rsidRDefault="009E62F1" w:rsidP="005D394E">
            <w:pPr>
              <w:keepLines/>
              <w:widowControl w:val="0"/>
              <w:rPr>
                <w:rFonts w:eastAsia="Times New Roman" w:cstheme="minorHAnsi"/>
                <w:bCs/>
                <w:iCs/>
                <w:sz w:val="20"/>
                <w:szCs w:val="20"/>
                <w:lang w:val="sr-Cyrl-RS"/>
              </w:rPr>
            </w:pPr>
            <w:r w:rsidRPr="00574D1C">
              <w:rPr>
                <w:rFonts w:eastAsia="Times New Roman" w:cstheme="minorHAnsi"/>
                <w:bCs/>
                <w:iCs/>
                <w:sz w:val="20"/>
                <w:szCs w:val="20"/>
                <w:lang w:val="sr-Cyrl-RS"/>
              </w:rPr>
              <w:t>Тромесечно током периода спровођења Пројекта</w:t>
            </w:r>
            <w:r w:rsidR="00625BD8">
              <w:rPr>
                <w:rFonts w:eastAsia="Times New Roman" w:cstheme="minorHAnsi"/>
                <w:bCs/>
                <w:iCs/>
                <w:sz w:val="20"/>
                <w:szCs w:val="20"/>
                <w:lang w:val="sr-Cyrl-RS"/>
              </w:rPr>
              <w:t>, почевши од дана почетка спровођења Пројекта</w:t>
            </w:r>
          </w:p>
        </w:tc>
        <w:tc>
          <w:tcPr>
            <w:tcW w:w="3150" w:type="dxa"/>
            <w:tcBorders>
              <w:bottom w:val="single" w:sz="4" w:space="0" w:color="auto"/>
            </w:tcBorders>
          </w:tcPr>
          <w:p w14:paraId="5D4F34D0" w14:textId="52DC2740" w:rsidR="00502173" w:rsidRPr="00574D1C" w:rsidRDefault="00D729F8" w:rsidP="005D394E">
            <w:pPr>
              <w:keepLines/>
              <w:widowControl w:val="0"/>
              <w:rPr>
                <w:rFonts w:cstheme="minorHAnsi"/>
                <w:iCs/>
                <w:sz w:val="20"/>
                <w:szCs w:val="20"/>
                <w:lang w:val="sr-Cyrl-RS"/>
              </w:rPr>
            </w:pPr>
            <w:r w:rsidRPr="00574D1C">
              <w:rPr>
                <w:rFonts w:cstheme="minorHAnsi"/>
                <w:iCs/>
                <w:sz w:val="20"/>
                <w:szCs w:val="20"/>
                <w:lang w:val="sr-Cyrl-RS"/>
              </w:rPr>
              <w:t>ЈКП МЗ</w:t>
            </w:r>
          </w:p>
        </w:tc>
      </w:tr>
      <w:tr w:rsidR="00502173" w:rsidRPr="00574D1C" w14:paraId="574F4D94" w14:textId="77777777" w:rsidTr="00594521">
        <w:trPr>
          <w:cantSplit/>
          <w:trHeight w:val="20"/>
        </w:trPr>
        <w:tc>
          <w:tcPr>
            <w:tcW w:w="14305" w:type="dxa"/>
            <w:gridSpan w:val="4"/>
            <w:tcBorders>
              <w:top w:val="single" w:sz="4" w:space="0" w:color="000000"/>
            </w:tcBorders>
            <w:shd w:val="clear" w:color="auto" w:fill="F4B083" w:themeFill="accent2" w:themeFillTint="99"/>
          </w:tcPr>
          <w:p w14:paraId="1B9C5400" w14:textId="29B44E1C" w:rsidR="00502173" w:rsidRPr="00574D1C" w:rsidRDefault="00502173" w:rsidP="00D16B0C">
            <w:pPr>
              <w:keepLines/>
              <w:widowControl w:val="0"/>
              <w:rPr>
                <w:rFonts w:cstheme="minorHAnsi"/>
                <w:sz w:val="20"/>
                <w:szCs w:val="20"/>
                <w:lang w:val="sr-Cyrl-RS"/>
              </w:rPr>
            </w:pPr>
            <w:r w:rsidRPr="00574D1C">
              <w:rPr>
                <w:rFonts w:cstheme="minorHAnsi"/>
                <w:b/>
                <w:sz w:val="20"/>
                <w:szCs w:val="20"/>
                <w:lang w:val="sr-Cyrl-RS"/>
              </w:rPr>
              <w:t xml:space="preserve">ESS 1: </w:t>
            </w:r>
            <w:r w:rsidR="004A7BDE" w:rsidRPr="00574D1C">
              <w:rPr>
                <w:rFonts w:cstheme="minorHAnsi"/>
                <w:b/>
                <w:sz w:val="20"/>
                <w:szCs w:val="20"/>
                <w:lang w:val="sr-Cyrl-RS"/>
              </w:rPr>
              <w:t xml:space="preserve">ОЦЕНА </w:t>
            </w:r>
            <w:r w:rsidR="000464CE" w:rsidRPr="00574D1C">
              <w:rPr>
                <w:rFonts w:cstheme="minorHAnsi"/>
                <w:b/>
                <w:sz w:val="20"/>
                <w:szCs w:val="20"/>
                <w:lang w:val="sr-Cyrl-RS"/>
              </w:rPr>
              <w:t>РИЗИКА И УТИЦАЈА НА ЖИВОТНУ СРЕДИНУ И СОЦИЈАЛНА ПИТАЊА И УПРАВЉАЊЕ ЊИМА</w:t>
            </w:r>
          </w:p>
        </w:tc>
      </w:tr>
      <w:tr w:rsidR="00502173" w:rsidRPr="00574D1C" w14:paraId="53FD2164" w14:textId="77777777" w:rsidTr="00A01978">
        <w:trPr>
          <w:cantSplit/>
          <w:trHeight w:val="20"/>
        </w:trPr>
        <w:tc>
          <w:tcPr>
            <w:tcW w:w="715" w:type="dxa"/>
            <w:tcBorders>
              <w:top w:val="single" w:sz="4" w:space="0" w:color="000000"/>
            </w:tcBorders>
          </w:tcPr>
          <w:p w14:paraId="0D527BFF" w14:textId="77777777" w:rsidR="00502173" w:rsidRPr="00574D1C" w:rsidRDefault="00502173" w:rsidP="005D394E">
            <w:pPr>
              <w:keepLines/>
              <w:widowControl w:val="0"/>
              <w:jc w:val="center"/>
              <w:rPr>
                <w:rFonts w:cstheme="minorHAnsi"/>
                <w:sz w:val="20"/>
                <w:szCs w:val="20"/>
                <w:lang w:val="sr-Cyrl-RS"/>
              </w:rPr>
            </w:pPr>
            <w:r w:rsidRPr="00574D1C">
              <w:rPr>
                <w:rFonts w:cstheme="minorHAnsi"/>
                <w:sz w:val="20"/>
                <w:szCs w:val="20"/>
                <w:lang w:val="sr-Cyrl-RS"/>
              </w:rPr>
              <w:t>1.1</w:t>
            </w:r>
          </w:p>
        </w:tc>
        <w:tc>
          <w:tcPr>
            <w:tcW w:w="6840" w:type="dxa"/>
            <w:tcBorders>
              <w:top w:val="single" w:sz="4" w:space="0" w:color="000000"/>
            </w:tcBorders>
          </w:tcPr>
          <w:p w14:paraId="31703742" w14:textId="5A8567AA" w:rsidR="009E62F1" w:rsidRPr="00574D1C" w:rsidRDefault="004A7BDE" w:rsidP="00D16B0C">
            <w:pPr>
              <w:keepLines/>
              <w:widowControl w:val="0"/>
              <w:rPr>
                <w:rFonts w:cstheme="minorHAnsi"/>
                <w:sz w:val="20"/>
                <w:szCs w:val="20"/>
                <w:lang w:val="sr-Cyrl-RS"/>
              </w:rPr>
            </w:pPr>
            <w:r w:rsidRPr="00574D1C">
              <w:rPr>
                <w:rFonts w:cstheme="minorHAnsi"/>
                <w:b/>
                <w:color w:val="4472C4" w:themeColor="accent1"/>
                <w:sz w:val="20"/>
                <w:szCs w:val="20"/>
                <w:lang w:val="sr-Cyrl-RS"/>
              </w:rPr>
              <w:t>ОРГАНИЗАЦИОНА СТРУКТУРА</w:t>
            </w:r>
            <w:r w:rsidR="003831F4" w:rsidRPr="00574D1C">
              <w:rPr>
                <w:rFonts w:cstheme="minorHAnsi"/>
                <w:sz w:val="20"/>
                <w:szCs w:val="20"/>
                <w:lang w:val="sr-Cyrl-RS"/>
              </w:rPr>
              <w:t xml:space="preserve">: </w:t>
            </w:r>
            <w:r w:rsidR="009E62F1" w:rsidRPr="00574D1C">
              <w:rPr>
                <w:rFonts w:cstheme="minorHAnsi"/>
                <w:sz w:val="20"/>
                <w:szCs w:val="20"/>
                <w:lang w:val="sr-Cyrl-RS"/>
              </w:rPr>
              <w:t xml:space="preserve">Пројекат спроводи МЗ као кровни координатор. Министарство здравља ће користити своју постојећу структуру и Јединицу за координацију пројекта (ЈКП) формирану ради спровођења </w:t>
            </w:r>
            <w:r w:rsidR="0028354D">
              <w:rPr>
                <w:rFonts w:cstheme="minorHAnsi"/>
                <w:sz w:val="20"/>
                <w:szCs w:val="20"/>
                <w:lang w:val="sr-Cyrl-RS"/>
              </w:rPr>
              <w:t>„</w:t>
            </w:r>
            <w:r w:rsidR="009E62F1" w:rsidRPr="00574D1C">
              <w:rPr>
                <w:rFonts w:cstheme="minorHAnsi"/>
                <w:sz w:val="20"/>
                <w:szCs w:val="20"/>
                <w:lang w:val="sr-Cyrl-RS"/>
              </w:rPr>
              <w:t xml:space="preserve">Другог пројекта развоја здравства </w:t>
            </w:r>
            <w:r w:rsidR="0028354D">
              <w:rPr>
                <w:rFonts w:cstheme="minorHAnsi"/>
                <w:sz w:val="20"/>
                <w:szCs w:val="20"/>
                <w:lang w:val="sr-Cyrl-RS"/>
              </w:rPr>
              <w:t>Србије“</w:t>
            </w:r>
            <w:r w:rsidR="009E62F1" w:rsidRPr="00574D1C">
              <w:rPr>
                <w:rFonts w:cstheme="minorHAnsi"/>
                <w:sz w:val="20"/>
                <w:szCs w:val="20"/>
                <w:lang w:val="sr-Cyrl-RS"/>
              </w:rPr>
              <w:t xml:space="preserve"> који подржава Светска банка (P129539), која ће преузети одговорност за реализацију Пројекта.</w:t>
            </w:r>
          </w:p>
          <w:p w14:paraId="09F2428F" w14:textId="715F86BD" w:rsidR="00B94B5D" w:rsidRPr="00574D1C" w:rsidRDefault="009E62F1" w:rsidP="00D16B0C">
            <w:pPr>
              <w:keepLines/>
              <w:widowControl w:val="0"/>
              <w:rPr>
                <w:rFonts w:cstheme="minorHAnsi"/>
                <w:sz w:val="20"/>
                <w:szCs w:val="20"/>
                <w:lang w:val="sr-Cyrl-RS"/>
              </w:rPr>
            </w:pPr>
            <w:r w:rsidRPr="00574D1C">
              <w:rPr>
                <w:rFonts w:cstheme="minorHAnsi"/>
                <w:sz w:val="20"/>
                <w:szCs w:val="20"/>
                <w:lang w:val="sr-Cyrl-RS"/>
              </w:rPr>
              <w:t xml:space="preserve">Јединица за координацију пројекта </w:t>
            </w:r>
            <w:r w:rsidR="00CC6762">
              <w:rPr>
                <w:rFonts w:cstheme="minorHAnsi"/>
                <w:sz w:val="20"/>
                <w:szCs w:val="20"/>
                <w:lang w:val="sr-Cyrl-RS"/>
              </w:rPr>
              <w:t xml:space="preserve">током читавог периода спровођења Пројекта </w:t>
            </w:r>
            <w:r w:rsidRPr="00574D1C">
              <w:rPr>
                <w:rFonts w:cstheme="minorHAnsi"/>
                <w:sz w:val="20"/>
                <w:szCs w:val="20"/>
                <w:lang w:val="sr-Cyrl-RS"/>
              </w:rPr>
              <w:t>обезбе</w:t>
            </w:r>
            <w:r w:rsidR="00CC6762">
              <w:rPr>
                <w:rFonts w:cstheme="minorHAnsi"/>
                <w:sz w:val="20"/>
                <w:szCs w:val="20"/>
                <w:lang w:val="sr-Cyrl-RS"/>
              </w:rPr>
              <w:t>ђује</w:t>
            </w:r>
            <w:r w:rsidRPr="00574D1C">
              <w:rPr>
                <w:rFonts w:cstheme="minorHAnsi"/>
                <w:sz w:val="20"/>
                <w:szCs w:val="20"/>
                <w:lang w:val="sr-Cyrl-RS"/>
              </w:rPr>
              <w:t xml:space="preserve"> квалификоване раднике и ресурсе у циљу пружања подршке управљању ризицима и утицајима из области животне средине и социјалних питања, </w:t>
            </w:r>
            <w:r w:rsidR="00C50778">
              <w:rPr>
                <w:rFonts w:cstheme="minorHAnsi"/>
                <w:sz w:val="20"/>
                <w:szCs w:val="20"/>
                <w:lang w:val="sr-Cyrl-RS"/>
              </w:rPr>
              <w:t xml:space="preserve">укључујући и </w:t>
            </w:r>
            <w:r w:rsidR="00896CE4">
              <w:rPr>
                <w:rFonts w:cstheme="minorHAnsi"/>
                <w:sz w:val="20"/>
                <w:szCs w:val="20"/>
                <w:lang w:val="sr-Cyrl-RS"/>
              </w:rPr>
              <w:t>кроз</w:t>
            </w:r>
            <w:r w:rsidRPr="00574D1C">
              <w:rPr>
                <w:rFonts w:cstheme="minorHAnsi"/>
                <w:sz w:val="20"/>
                <w:szCs w:val="20"/>
                <w:lang w:val="sr-Cyrl-RS"/>
              </w:rPr>
              <w:t xml:space="preserve"> ангажова</w:t>
            </w:r>
            <w:r w:rsidR="00C50778">
              <w:rPr>
                <w:rFonts w:cstheme="minorHAnsi"/>
                <w:sz w:val="20"/>
                <w:szCs w:val="20"/>
                <w:lang w:val="sr-Cyrl-RS"/>
              </w:rPr>
              <w:t>њ</w:t>
            </w:r>
            <w:r w:rsidR="00896CE4">
              <w:rPr>
                <w:rFonts w:cstheme="minorHAnsi"/>
                <w:sz w:val="20"/>
                <w:szCs w:val="20"/>
                <w:lang w:val="sr-Cyrl-RS"/>
              </w:rPr>
              <w:t>е</w:t>
            </w:r>
            <w:r w:rsidRPr="00574D1C">
              <w:rPr>
                <w:rFonts w:cstheme="minorHAnsi"/>
                <w:sz w:val="20"/>
                <w:szCs w:val="20"/>
                <w:lang w:val="sr-Cyrl-RS"/>
              </w:rPr>
              <w:t xml:space="preserve"> једног </w:t>
            </w:r>
            <w:r w:rsidR="00CE1661" w:rsidRPr="00574D1C">
              <w:rPr>
                <w:rFonts w:cstheme="minorHAnsi"/>
                <w:sz w:val="20"/>
                <w:szCs w:val="20"/>
                <w:lang w:val="sr-Cyrl-RS"/>
              </w:rPr>
              <w:t>специјалист</w:t>
            </w:r>
            <w:r w:rsidR="00CE1661">
              <w:rPr>
                <w:rFonts w:cstheme="minorHAnsi"/>
                <w:sz w:val="20"/>
                <w:szCs w:val="20"/>
                <w:lang w:val="sr-Cyrl-RS"/>
              </w:rPr>
              <w:t>е</w:t>
            </w:r>
            <w:r w:rsidR="00CE1661" w:rsidRPr="00574D1C">
              <w:rPr>
                <w:rFonts w:cstheme="minorHAnsi"/>
                <w:sz w:val="20"/>
                <w:szCs w:val="20"/>
                <w:lang w:val="sr-Cyrl-RS"/>
              </w:rPr>
              <w:t xml:space="preserve"> </w:t>
            </w:r>
            <w:r w:rsidRPr="00574D1C">
              <w:rPr>
                <w:rFonts w:cstheme="minorHAnsi"/>
                <w:sz w:val="20"/>
                <w:szCs w:val="20"/>
                <w:lang w:val="sr-Cyrl-RS"/>
              </w:rPr>
              <w:t xml:space="preserve">за питања животне средине и једног </w:t>
            </w:r>
            <w:r w:rsidR="00CE1661" w:rsidRPr="00574D1C">
              <w:rPr>
                <w:rFonts w:cstheme="minorHAnsi"/>
                <w:sz w:val="20"/>
                <w:szCs w:val="20"/>
                <w:lang w:val="sr-Cyrl-RS"/>
              </w:rPr>
              <w:t>специјалист</w:t>
            </w:r>
            <w:r w:rsidR="00CE1661">
              <w:rPr>
                <w:rFonts w:cstheme="minorHAnsi"/>
                <w:sz w:val="20"/>
                <w:szCs w:val="20"/>
                <w:lang w:val="sr-Cyrl-RS"/>
              </w:rPr>
              <w:t>е</w:t>
            </w:r>
            <w:r w:rsidR="00735A47">
              <w:rPr>
                <w:rFonts w:cstheme="minorHAnsi"/>
                <w:sz w:val="20"/>
                <w:szCs w:val="20"/>
                <w:lang w:val="sr-Cyrl-RS"/>
              </w:rPr>
              <w:t xml:space="preserve"> </w:t>
            </w:r>
            <w:r w:rsidRPr="00574D1C">
              <w:rPr>
                <w:rFonts w:cstheme="minorHAnsi"/>
                <w:sz w:val="20"/>
                <w:szCs w:val="20"/>
                <w:lang w:val="sr-Cyrl-RS"/>
              </w:rPr>
              <w:t>за социјална питања.</w:t>
            </w:r>
          </w:p>
        </w:tc>
        <w:tc>
          <w:tcPr>
            <w:tcW w:w="3600" w:type="dxa"/>
            <w:tcBorders>
              <w:top w:val="single" w:sz="4" w:space="0" w:color="000000"/>
            </w:tcBorders>
          </w:tcPr>
          <w:p w14:paraId="2DF01D26" w14:textId="78C0E4E9" w:rsidR="00502173" w:rsidRPr="00574D1C" w:rsidRDefault="00B42C92" w:rsidP="00B42C92">
            <w:pPr>
              <w:keepLines/>
              <w:widowControl w:val="0"/>
              <w:rPr>
                <w:rFonts w:eastAsia="Times New Roman" w:cstheme="minorHAnsi"/>
                <w:bCs/>
                <w:iCs/>
                <w:sz w:val="20"/>
                <w:szCs w:val="20"/>
                <w:lang w:val="sr-Cyrl-RS"/>
              </w:rPr>
            </w:pPr>
            <w:r w:rsidRPr="00574D1C">
              <w:rPr>
                <w:rFonts w:cstheme="minorHAnsi"/>
                <w:sz w:val="20"/>
                <w:szCs w:val="20"/>
                <w:lang w:val="sr-Cyrl-RS"/>
              </w:rPr>
              <w:t xml:space="preserve">ЈКП МЗ ће ангажовати једног специјалисту за питања животне средине и једног специјалисту </w:t>
            </w:r>
            <w:r w:rsidR="00B12A60">
              <w:rPr>
                <w:rFonts w:cstheme="minorHAnsi"/>
                <w:sz w:val="20"/>
                <w:szCs w:val="20"/>
                <w:lang w:val="sr-Cyrl-RS"/>
              </w:rPr>
              <w:t>пре спровођења релевантних активности Пројект</w:t>
            </w:r>
            <w:r w:rsidR="00AC12DE">
              <w:rPr>
                <w:rFonts w:cstheme="minorHAnsi"/>
                <w:sz w:val="20"/>
                <w:szCs w:val="20"/>
                <w:lang w:val="sr-Cyrl-RS"/>
              </w:rPr>
              <w:t>а</w:t>
            </w:r>
            <w:r w:rsidR="00D77B45">
              <w:rPr>
                <w:rFonts w:cstheme="minorHAnsi"/>
                <w:sz w:val="20"/>
                <w:szCs w:val="20"/>
                <w:lang w:val="sr-Cyrl-RS"/>
              </w:rPr>
              <w:t xml:space="preserve"> и</w:t>
            </w:r>
            <w:r w:rsidR="00C06D76">
              <w:rPr>
                <w:rFonts w:cstheme="minorHAnsi"/>
                <w:sz w:val="20"/>
                <w:szCs w:val="20"/>
                <w:lang w:val="sr-Cyrl-RS"/>
              </w:rPr>
              <w:t xml:space="preserve"> ти специјалисти ће остати ангажовани током читавог периода спровођења Пројекта.</w:t>
            </w:r>
          </w:p>
        </w:tc>
        <w:tc>
          <w:tcPr>
            <w:tcW w:w="3150" w:type="dxa"/>
            <w:tcBorders>
              <w:top w:val="single" w:sz="4" w:space="0" w:color="000000"/>
            </w:tcBorders>
          </w:tcPr>
          <w:p w14:paraId="6F9B134B" w14:textId="15921F3F" w:rsidR="00502173" w:rsidRPr="00574D1C" w:rsidRDefault="00D729F8" w:rsidP="005D394E">
            <w:pPr>
              <w:keepLines/>
              <w:widowControl w:val="0"/>
              <w:rPr>
                <w:rFonts w:cstheme="minorHAnsi"/>
                <w:b/>
                <w:bCs/>
                <w:sz w:val="20"/>
                <w:szCs w:val="20"/>
                <w:lang w:val="sr-Cyrl-RS"/>
              </w:rPr>
            </w:pPr>
            <w:r w:rsidRPr="00574D1C">
              <w:rPr>
                <w:rFonts w:cstheme="minorHAnsi"/>
                <w:iCs/>
                <w:sz w:val="20"/>
                <w:szCs w:val="20"/>
                <w:lang w:val="sr-Cyrl-RS"/>
              </w:rPr>
              <w:t>МЗ</w:t>
            </w:r>
          </w:p>
        </w:tc>
      </w:tr>
      <w:tr w:rsidR="00A01978" w:rsidRPr="00574D1C" w14:paraId="61812CD2" w14:textId="77777777" w:rsidTr="007C4BE8">
        <w:trPr>
          <w:cantSplit/>
          <w:trHeight w:val="20"/>
        </w:trPr>
        <w:tc>
          <w:tcPr>
            <w:tcW w:w="715" w:type="dxa"/>
            <w:tcBorders>
              <w:top w:val="single" w:sz="4" w:space="0" w:color="000000"/>
              <w:bottom w:val="single" w:sz="4" w:space="0" w:color="000000"/>
            </w:tcBorders>
          </w:tcPr>
          <w:p w14:paraId="45690BD3" w14:textId="5005453A" w:rsidR="00A01978" w:rsidRPr="00574D1C" w:rsidRDefault="00A01978" w:rsidP="00A01978">
            <w:pPr>
              <w:keepLines/>
              <w:widowControl w:val="0"/>
              <w:jc w:val="center"/>
              <w:rPr>
                <w:rFonts w:cstheme="minorHAnsi"/>
                <w:sz w:val="20"/>
                <w:szCs w:val="20"/>
                <w:lang w:val="sr-Cyrl-RS"/>
              </w:rPr>
            </w:pPr>
            <w:r w:rsidRPr="00574D1C">
              <w:rPr>
                <w:rFonts w:cstheme="minorHAnsi"/>
                <w:sz w:val="20"/>
                <w:szCs w:val="20"/>
                <w:lang w:val="sr-Cyrl-RS"/>
              </w:rPr>
              <w:lastRenderedPageBreak/>
              <w:t>1.2</w:t>
            </w:r>
          </w:p>
        </w:tc>
        <w:tc>
          <w:tcPr>
            <w:tcW w:w="6840" w:type="dxa"/>
            <w:tcBorders>
              <w:top w:val="single" w:sz="4" w:space="0" w:color="000000"/>
              <w:bottom w:val="single" w:sz="4" w:space="0" w:color="000000"/>
            </w:tcBorders>
          </w:tcPr>
          <w:p w14:paraId="1D624786" w14:textId="3F5F3A6B" w:rsidR="00A01978" w:rsidRPr="00574D1C" w:rsidRDefault="001C20B3" w:rsidP="00A01978">
            <w:pPr>
              <w:keepLines/>
              <w:widowControl w:val="0"/>
              <w:rPr>
                <w:rFonts w:cstheme="minorHAnsi"/>
                <w:b/>
                <w:color w:val="4472C4" w:themeColor="accent1"/>
                <w:sz w:val="20"/>
                <w:szCs w:val="20"/>
                <w:lang w:val="sr-Cyrl-RS"/>
              </w:rPr>
            </w:pPr>
            <w:r w:rsidRPr="00574D1C">
              <w:rPr>
                <w:rFonts w:cstheme="minorHAnsi"/>
                <w:b/>
                <w:color w:val="4472C4" w:themeColor="accent1"/>
                <w:sz w:val="20"/>
                <w:szCs w:val="20"/>
                <w:lang w:val="sr-Cyrl-RS"/>
              </w:rPr>
              <w:t xml:space="preserve">ПЛАНОВИ И ИНСТРУМЕНТИ / </w:t>
            </w:r>
            <w:r w:rsidR="00A519D9" w:rsidRPr="00574D1C">
              <w:rPr>
                <w:rFonts w:cstheme="minorHAnsi"/>
                <w:b/>
                <w:color w:val="4472C4" w:themeColor="accent1"/>
                <w:sz w:val="20"/>
                <w:szCs w:val="20"/>
                <w:lang w:val="sr-Cyrl-RS"/>
              </w:rPr>
              <w:t>УГОВАРАЧИ</w:t>
            </w:r>
            <w:r w:rsidRPr="00574D1C">
              <w:rPr>
                <w:rFonts w:cstheme="minorHAnsi"/>
                <w:b/>
                <w:color w:val="4472C4" w:themeColor="accent1"/>
                <w:sz w:val="20"/>
                <w:szCs w:val="20"/>
                <w:lang w:val="sr-Cyrl-RS"/>
              </w:rPr>
              <w:t xml:space="preserve"> ЗА УПРАВЉАЊЕ ЖИВОТН</w:t>
            </w:r>
            <w:r w:rsidR="00122D5A" w:rsidRPr="00574D1C">
              <w:rPr>
                <w:rFonts w:cstheme="minorHAnsi"/>
                <w:b/>
                <w:color w:val="4472C4" w:themeColor="accent1"/>
                <w:sz w:val="20"/>
                <w:szCs w:val="20"/>
                <w:lang w:val="sr-Cyrl-RS"/>
              </w:rPr>
              <w:t>ОМ</w:t>
            </w:r>
            <w:r w:rsidRPr="00574D1C">
              <w:rPr>
                <w:rFonts w:cstheme="minorHAnsi"/>
                <w:b/>
                <w:color w:val="4472C4" w:themeColor="accent1"/>
                <w:sz w:val="20"/>
                <w:szCs w:val="20"/>
                <w:lang w:val="sr-Cyrl-RS"/>
              </w:rPr>
              <w:t xml:space="preserve"> СРЕДИН</w:t>
            </w:r>
            <w:r w:rsidR="00122D5A" w:rsidRPr="00574D1C">
              <w:rPr>
                <w:rFonts w:cstheme="minorHAnsi"/>
                <w:b/>
                <w:color w:val="4472C4" w:themeColor="accent1"/>
                <w:sz w:val="20"/>
                <w:szCs w:val="20"/>
                <w:lang w:val="sr-Cyrl-RS"/>
              </w:rPr>
              <w:t>ОМ</w:t>
            </w:r>
            <w:r w:rsidRPr="00574D1C">
              <w:rPr>
                <w:rFonts w:cstheme="minorHAnsi"/>
                <w:b/>
                <w:color w:val="4472C4" w:themeColor="accent1"/>
                <w:sz w:val="20"/>
                <w:szCs w:val="20"/>
                <w:lang w:val="sr-Cyrl-RS"/>
              </w:rPr>
              <w:t xml:space="preserve"> И СОЦИЈАЛНИМ ПИТАЊИМА И ЊИХОВУ ОЦЕНУ</w:t>
            </w:r>
          </w:p>
          <w:p w14:paraId="1DF506AD" w14:textId="606FC7AE" w:rsidR="00491EA6" w:rsidRPr="00574D1C" w:rsidRDefault="00491EA6" w:rsidP="002D3B2F">
            <w:pPr>
              <w:pStyle w:val="ListParagraph"/>
              <w:keepLines/>
              <w:widowControl w:val="0"/>
              <w:numPr>
                <w:ilvl w:val="0"/>
                <w:numId w:val="21"/>
              </w:numPr>
              <w:spacing w:after="0"/>
              <w:ind w:left="330"/>
              <w:jc w:val="left"/>
              <w:rPr>
                <w:rFonts w:cstheme="minorHAnsi"/>
                <w:sz w:val="20"/>
                <w:szCs w:val="20"/>
                <w:lang w:val="sr-Cyrl-RS"/>
              </w:rPr>
            </w:pPr>
            <w:r w:rsidRPr="00574D1C">
              <w:rPr>
                <w:rFonts w:cstheme="minorHAnsi"/>
                <w:sz w:val="20"/>
                <w:szCs w:val="20"/>
                <w:lang w:val="sr-Cyrl-RS"/>
              </w:rPr>
              <w:t>Израда, објављивање и усвајање Оквира за управљање животном средином и социјалним питањима (ESMF) и оцена ризика и утицаја предложених активности Пројекта на животну средину и социјална питања у складу са стандардом ESS1 и ESMF-ом, између осталог и да би се обезбедило да појединци и групе који могу бити осетљиви или у неповољном положају због конкретних околности у којима се налазе буду у стању да остваре развојне користи настале реализацијом Пројекта.</w:t>
            </w:r>
          </w:p>
          <w:p w14:paraId="2D7D66AC" w14:textId="1B1AC059" w:rsidR="00491EA6" w:rsidRPr="00574D1C" w:rsidRDefault="00491EA6" w:rsidP="002D3B2F">
            <w:pPr>
              <w:pStyle w:val="ListParagraph"/>
              <w:keepLines/>
              <w:widowControl w:val="0"/>
              <w:numPr>
                <w:ilvl w:val="0"/>
                <w:numId w:val="21"/>
              </w:numPr>
              <w:spacing w:after="0"/>
              <w:ind w:left="330"/>
              <w:jc w:val="left"/>
              <w:rPr>
                <w:rFonts w:cstheme="minorHAnsi"/>
                <w:sz w:val="20"/>
                <w:szCs w:val="20"/>
                <w:lang w:val="sr-Cyrl-RS"/>
              </w:rPr>
            </w:pPr>
            <w:r w:rsidRPr="00574D1C">
              <w:rPr>
                <w:rFonts w:cstheme="minorHAnsi"/>
                <w:sz w:val="20"/>
                <w:szCs w:val="20"/>
                <w:lang w:val="sr-Cyrl-RS"/>
              </w:rPr>
              <w:t xml:space="preserve">Израда, објављивање, усвајање и спровођење планова за управљање животном средином и социјалним питањима или других инструмената потребних за спровођење активности Пројекта на основу поступка оцене, у складу са стандардима ESS, ESMF-ом и другим релевантним секторским стандардима добре праксе (GIIP), укључујући Националне и техничке смернице СЗО о </w:t>
            </w:r>
            <w:r w:rsidR="00613789" w:rsidRPr="00574D1C">
              <w:rPr>
                <w:rFonts w:cstheme="minorHAnsi"/>
                <w:sz w:val="20"/>
                <w:szCs w:val="20"/>
                <w:lang w:val="sr-Cyrl-RS"/>
              </w:rPr>
              <w:t xml:space="preserve">коронавирусној </w:t>
            </w:r>
            <w:r w:rsidRPr="00574D1C">
              <w:rPr>
                <w:rFonts w:cstheme="minorHAnsi"/>
                <w:sz w:val="20"/>
                <w:szCs w:val="20"/>
                <w:lang w:val="sr-Cyrl-RS"/>
              </w:rPr>
              <w:t xml:space="preserve">болести (ковид-19) и Смернице СЗО о безбедном управљању </w:t>
            </w:r>
            <w:r w:rsidR="00085B32" w:rsidRPr="00574D1C">
              <w:rPr>
                <w:rFonts w:cstheme="minorHAnsi"/>
                <w:sz w:val="20"/>
                <w:szCs w:val="20"/>
                <w:lang w:val="sr-Cyrl-RS"/>
              </w:rPr>
              <w:t>медицинским отпадом из</w:t>
            </w:r>
            <w:r w:rsidRPr="00574D1C">
              <w:rPr>
                <w:rFonts w:cstheme="minorHAnsi"/>
                <w:sz w:val="20"/>
                <w:szCs w:val="20"/>
                <w:lang w:val="sr-Cyrl-RS"/>
              </w:rPr>
              <w:t xml:space="preserve"> здравствен</w:t>
            </w:r>
            <w:r w:rsidR="00085B32" w:rsidRPr="00574D1C">
              <w:rPr>
                <w:rFonts w:cstheme="minorHAnsi"/>
                <w:sz w:val="20"/>
                <w:szCs w:val="20"/>
                <w:lang w:val="sr-Cyrl-RS"/>
              </w:rPr>
              <w:t>е</w:t>
            </w:r>
            <w:r w:rsidRPr="00574D1C">
              <w:rPr>
                <w:rFonts w:cstheme="minorHAnsi"/>
                <w:sz w:val="20"/>
                <w:szCs w:val="20"/>
                <w:lang w:val="sr-Cyrl-RS"/>
              </w:rPr>
              <w:t xml:space="preserve"> </w:t>
            </w:r>
            <w:r w:rsidR="00E472C0" w:rsidRPr="00574D1C">
              <w:rPr>
                <w:rFonts w:cstheme="minorHAnsi"/>
                <w:sz w:val="20"/>
                <w:szCs w:val="20"/>
                <w:lang w:val="sr-Cyrl-RS"/>
              </w:rPr>
              <w:t>заштите</w:t>
            </w:r>
            <w:r w:rsidR="00A171EE">
              <w:rPr>
                <w:rFonts w:cstheme="minorHAnsi"/>
                <w:sz w:val="20"/>
                <w:szCs w:val="20"/>
                <w:lang w:val="sr-Cyrl-RS"/>
              </w:rPr>
              <w:t xml:space="preserve"> у складу са стандардима </w:t>
            </w:r>
            <w:r w:rsidR="00A171EE">
              <w:rPr>
                <w:rFonts w:cstheme="minorHAnsi"/>
                <w:sz w:val="20"/>
                <w:szCs w:val="20"/>
                <w:lang w:val="en-GB"/>
              </w:rPr>
              <w:t xml:space="preserve">ESS </w:t>
            </w:r>
            <w:r w:rsidR="00A171EE">
              <w:rPr>
                <w:rFonts w:cstheme="minorHAnsi"/>
                <w:sz w:val="20"/>
                <w:szCs w:val="20"/>
                <w:lang w:val="sr-Cyrl-RS"/>
              </w:rPr>
              <w:t xml:space="preserve">и </w:t>
            </w:r>
            <w:r w:rsidRPr="00574D1C">
              <w:rPr>
                <w:rFonts w:cstheme="minorHAnsi"/>
                <w:sz w:val="20"/>
                <w:szCs w:val="20"/>
                <w:lang w:val="sr-Cyrl-RS"/>
              </w:rPr>
              <w:t>на начин који Банка сматра прихватљивим.</w:t>
            </w:r>
          </w:p>
          <w:p w14:paraId="69F77BD6" w14:textId="611221B7" w:rsidR="00A01978" w:rsidRPr="00574D1C" w:rsidRDefault="00491EA6" w:rsidP="002D3B2F">
            <w:pPr>
              <w:pStyle w:val="ListParagraph"/>
              <w:keepLines/>
              <w:widowControl w:val="0"/>
              <w:numPr>
                <w:ilvl w:val="0"/>
                <w:numId w:val="21"/>
              </w:numPr>
              <w:spacing w:after="0"/>
              <w:ind w:left="330"/>
              <w:jc w:val="left"/>
              <w:rPr>
                <w:rFonts w:cs="Calibri"/>
                <w:sz w:val="20"/>
                <w:szCs w:val="20"/>
                <w:lang w:val="sr-Cyrl-RS"/>
              </w:rPr>
            </w:pPr>
            <w:r w:rsidRPr="00574D1C">
              <w:rPr>
                <w:rFonts w:cs="Calibri"/>
                <w:sz w:val="20"/>
                <w:szCs w:val="20"/>
                <w:lang w:val="sr-Cyrl-RS"/>
              </w:rPr>
              <w:t>Уношење релевантних аспеката овог ESCP-а, укључујући, између осталог, планове за управљање животном средином и социјалним питањима и друге инструменте, услова из стандарда ESS2 и других мера везаних за животну средине, социјална питања и питања безбедности и здравља на раду у одредбе везане за животну средину, социјална питања и безбедност и здравље на раду у тендерским документима и уговорима за уговарачима и фирмама које врше надзор. Затим, старање о томе да се уговарачи и фирме које врше надзор придржавају одредби везаних за животну средину, социјална питања и безбедност и здравље на раду у уговорима које су потписали.</w:t>
            </w:r>
          </w:p>
        </w:tc>
        <w:tc>
          <w:tcPr>
            <w:tcW w:w="3600" w:type="dxa"/>
            <w:tcBorders>
              <w:top w:val="single" w:sz="4" w:space="0" w:color="000000"/>
              <w:bottom w:val="single" w:sz="4" w:space="0" w:color="000000"/>
            </w:tcBorders>
          </w:tcPr>
          <w:p w14:paraId="071DD827" w14:textId="1B24BFF0" w:rsidR="00C97BC0" w:rsidRPr="00574D1C" w:rsidRDefault="00C97BC0" w:rsidP="00566EC1">
            <w:pPr>
              <w:pStyle w:val="ListParagraph"/>
              <w:keepLines/>
              <w:widowControl w:val="0"/>
              <w:numPr>
                <w:ilvl w:val="0"/>
                <w:numId w:val="22"/>
              </w:numPr>
              <w:ind w:left="330"/>
              <w:jc w:val="left"/>
              <w:rPr>
                <w:rFonts w:cstheme="minorHAnsi"/>
                <w:sz w:val="20"/>
                <w:szCs w:val="20"/>
                <w:lang w:val="sr-Cyrl-RS"/>
              </w:rPr>
            </w:pPr>
            <w:r w:rsidRPr="00574D1C">
              <w:rPr>
                <w:rFonts w:cstheme="minorHAnsi"/>
                <w:sz w:val="20"/>
                <w:szCs w:val="20"/>
                <w:lang w:val="sr-Cyrl-RS"/>
              </w:rPr>
              <w:t>ESMF ће бити израђен</w:t>
            </w:r>
            <w:r w:rsidR="004E13CF">
              <w:rPr>
                <w:rFonts w:cstheme="minorHAnsi"/>
                <w:sz w:val="20"/>
                <w:szCs w:val="20"/>
                <w:lang w:val="sr-Cyrl-RS"/>
              </w:rPr>
              <w:t>,</w:t>
            </w:r>
            <w:r w:rsidRPr="00574D1C">
              <w:rPr>
                <w:rFonts w:cstheme="minorHAnsi"/>
                <w:sz w:val="20"/>
                <w:szCs w:val="20"/>
                <w:lang w:val="sr-Cyrl-RS"/>
              </w:rPr>
              <w:t xml:space="preserve"> објављен </w:t>
            </w:r>
            <w:r w:rsidR="004E13CF">
              <w:rPr>
                <w:rFonts w:cstheme="minorHAnsi"/>
                <w:sz w:val="20"/>
                <w:szCs w:val="20"/>
                <w:lang w:val="sr-Cyrl-RS"/>
              </w:rPr>
              <w:t xml:space="preserve">и усвојен </w:t>
            </w:r>
            <w:r w:rsidR="00F46608">
              <w:rPr>
                <w:rFonts w:cstheme="minorHAnsi"/>
                <w:sz w:val="20"/>
                <w:szCs w:val="20"/>
                <w:lang w:val="sr-Cyrl-RS"/>
              </w:rPr>
              <w:t xml:space="preserve">приближно </w:t>
            </w:r>
            <w:r w:rsidRPr="00574D1C">
              <w:rPr>
                <w:rFonts w:cstheme="minorHAnsi"/>
                <w:sz w:val="20"/>
                <w:szCs w:val="20"/>
                <w:lang w:val="sr-Cyrl-RS"/>
              </w:rPr>
              <w:t>месец дана од дана почетка спровођења Пројекта. До одобрења ESMF-а, Пројекат ће примењивати стандарде СЗО о реаговању на ковид-19 у складу са стандардом ЕSS1. Пре спровођења одговарајуће активности Пројекта спровешће се скрининг.</w:t>
            </w:r>
          </w:p>
          <w:p w14:paraId="7A226ED3" w14:textId="59FFF053" w:rsidR="00C97BC0" w:rsidRPr="00574D1C" w:rsidRDefault="00C97BC0" w:rsidP="00566EC1">
            <w:pPr>
              <w:pStyle w:val="ListParagraph"/>
              <w:keepLines/>
              <w:widowControl w:val="0"/>
              <w:numPr>
                <w:ilvl w:val="0"/>
                <w:numId w:val="22"/>
              </w:numPr>
              <w:ind w:left="330"/>
              <w:jc w:val="left"/>
              <w:rPr>
                <w:rFonts w:cstheme="minorHAnsi"/>
                <w:sz w:val="20"/>
                <w:szCs w:val="20"/>
                <w:lang w:val="sr-Cyrl-RS"/>
              </w:rPr>
            </w:pPr>
            <w:r w:rsidRPr="00574D1C">
              <w:rPr>
                <w:rFonts w:cstheme="minorHAnsi"/>
                <w:sz w:val="20"/>
                <w:szCs w:val="20"/>
                <w:lang w:val="sr-Cyrl-RS"/>
              </w:rPr>
              <w:t xml:space="preserve">ESMP-ови или инструменти које Банка сматра прихватљивим биће израђени </w:t>
            </w:r>
            <w:r w:rsidR="00F46608">
              <w:rPr>
                <w:rFonts w:cstheme="minorHAnsi"/>
                <w:sz w:val="20"/>
                <w:szCs w:val="20"/>
                <w:lang w:val="sr-Cyrl-RS"/>
              </w:rPr>
              <w:t xml:space="preserve">, објављени и усвојени </w:t>
            </w:r>
            <w:r w:rsidRPr="00574D1C">
              <w:rPr>
                <w:rFonts w:cstheme="minorHAnsi"/>
                <w:sz w:val="20"/>
                <w:szCs w:val="20"/>
                <w:lang w:val="sr-Cyrl-RS"/>
              </w:rPr>
              <w:t>пре почетка спровођења одговарајућих активности Пројекта а након тога ће се спроводити током трајања реализације тих активности.</w:t>
            </w:r>
          </w:p>
          <w:p w14:paraId="5656A6F1" w14:textId="6E0051E8" w:rsidR="00A01978" w:rsidRPr="00574D1C" w:rsidRDefault="00C97BC0" w:rsidP="00566EC1">
            <w:pPr>
              <w:pStyle w:val="ListParagraph"/>
              <w:keepLines/>
              <w:widowControl w:val="0"/>
              <w:numPr>
                <w:ilvl w:val="0"/>
                <w:numId w:val="22"/>
              </w:numPr>
              <w:ind w:left="330"/>
              <w:jc w:val="left"/>
              <w:rPr>
                <w:rFonts w:cstheme="minorHAnsi"/>
                <w:sz w:val="20"/>
                <w:szCs w:val="20"/>
                <w:lang w:val="sr-Cyrl-RS"/>
              </w:rPr>
            </w:pPr>
            <w:r w:rsidRPr="00574D1C">
              <w:rPr>
                <w:rFonts w:cstheme="minorHAnsi"/>
                <w:sz w:val="20"/>
                <w:szCs w:val="20"/>
                <w:lang w:val="sr-Cyrl-RS"/>
              </w:rPr>
              <w:t xml:space="preserve">Пре покретања поступка набавке за одговарајуће активности Пројекта и након ње осигураће се да се уговарачи придржавају одредби везаних за животну средину, социјална питања и безбедност и здравље на раду у уговорима које су потписали у току трајања свог </w:t>
            </w:r>
            <w:r w:rsidR="00A178E9">
              <w:rPr>
                <w:rFonts w:cstheme="minorHAnsi"/>
                <w:sz w:val="20"/>
                <w:szCs w:val="20"/>
                <w:lang w:val="sr-Cyrl-RS"/>
              </w:rPr>
              <w:t>ангажовања</w:t>
            </w:r>
            <w:r w:rsidRPr="00574D1C">
              <w:rPr>
                <w:rFonts w:cstheme="minorHAnsi"/>
                <w:sz w:val="20"/>
                <w:szCs w:val="20"/>
                <w:lang w:val="sr-Cyrl-RS"/>
              </w:rPr>
              <w:t xml:space="preserve"> </w:t>
            </w:r>
            <w:r w:rsidR="00566EC1">
              <w:rPr>
                <w:rFonts w:cstheme="minorHAnsi"/>
                <w:sz w:val="20"/>
                <w:szCs w:val="20"/>
                <w:lang w:val="sr-Cyrl-RS"/>
              </w:rPr>
              <w:t>на</w:t>
            </w:r>
            <w:r w:rsidRPr="00574D1C">
              <w:rPr>
                <w:rFonts w:cstheme="minorHAnsi"/>
                <w:sz w:val="20"/>
                <w:szCs w:val="20"/>
                <w:lang w:val="sr-Cyrl-RS"/>
              </w:rPr>
              <w:t xml:space="preserve"> одговарајућим активностима Пројекта.</w:t>
            </w:r>
          </w:p>
        </w:tc>
        <w:tc>
          <w:tcPr>
            <w:tcW w:w="3150" w:type="dxa"/>
            <w:tcBorders>
              <w:top w:val="single" w:sz="4" w:space="0" w:color="000000"/>
              <w:bottom w:val="single" w:sz="4" w:space="0" w:color="000000"/>
            </w:tcBorders>
          </w:tcPr>
          <w:p w14:paraId="554F6276" w14:textId="70454676" w:rsidR="00A01978" w:rsidRPr="00574D1C" w:rsidRDefault="00D729F8" w:rsidP="00A01978">
            <w:pPr>
              <w:keepLines/>
              <w:widowControl w:val="0"/>
              <w:rPr>
                <w:rFonts w:cstheme="minorHAnsi"/>
                <w:iCs/>
                <w:sz w:val="20"/>
                <w:szCs w:val="20"/>
                <w:lang w:val="sr-Cyrl-RS"/>
              </w:rPr>
            </w:pPr>
            <w:r w:rsidRPr="00574D1C">
              <w:rPr>
                <w:rFonts w:cstheme="minorHAnsi"/>
                <w:iCs/>
                <w:sz w:val="20"/>
                <w:szCs w:val="20"/>
                <w:lang w:val="sr-Cyrl-RS"/>
              </w:rPr>
              <w:t>ЈКП МЗ</w:t>
            </w:r>
          </w:p>
        </w:tc>
      </w:tr>
    </w:tbl>
    <w:p w14:paraId="589DCE83" w14:textId="51C099CF" w:rsidR="00A01978" w:rsidRPr="00574D1C" w:rsidRDefault="00A01978">
      <w:pPr>
        <w:rPr>
          <w:sz w:val="20"/>
          <w:szCs w:val="20"/>
          <w:lang w:val="sr-Cyrl-RS"/>
        </w:r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6120"/>
        <w:gridCol w:w="3780"/>
        <w:gridCol w:w="3690"/>
      </w:tblGrid>
      <w:tr w:rsidR="00A01978" w:rsidRPr="00574D1C" w14:paraId="20252E05" w14:textId="77777777" w:rsidTr="002E201F">
        <w:trPr>
          <w:cantSplit/>
          <w:trHeight w:val="56"/>
          <w:tblHeader/>
        </w:trPr>
        <w:tc>
          <w:tcPr>
            <w:tcW w:w="6835" w:type="dxa"/>
            <w:gridSpan w:val="2"/>
            <w:tcBorders>
              <w:top w:val="single" w:sz="4" w:space="0" w:color="000000"/>
            </w:tcBorders>
            <w:shd w:val="clear" w:color="auto" w:fill="C5E0B3" w:themeFill="accent6" w:themeFillTint="66"/>
          </w:tcPr>
          <w:p w14:paraId="07509DC5" w14:textId="7D9647B8" w:rsidR="00A01978" w:rsidRPr="00574D1C" w:rsidRDefault="004418A3" w:rsidP="002E201F">
            <w:pPr>
              <w:keepLines/>
              <w:widowControl w:val="0"/>
              <w:rPr>
                <w:rFonts w:cstheme="minorHAnsi"/>
                <w:b/>
                <w:sz w:val="20"/>
                <w:szCs w:val="20"/>
                <w:lang w:val="sr-Cyrl-RS"/>
              </w:rPr>
            </w:pPr>
            <w:r w:rsidRPr="00574D1C">
              <w:rPr>
                <w:rFonts w:cstheme="minorHAnsi"/>
                <w:b/>
                <w:sz w:val="20"/>
                <w:szCs w:val="20"/>
                <w:lang w:val="sr-Cyrl-RS"/>
              </w:rPr>
              <w:lastRenderedPageBreak/>
              <w:t>ОДГОВАРАЈУЋЕ МЕРЕ И РАДЊЕ</w:t>
            </w:r>
          </w:p>
        </w:tc>
        <w:tc>
          <w:tcPr>
            <w:tcW w:w="3780" w:type="dxa"/>
            <w:tcBorders>
              <w:top w:val="single" w:sz="4" w:space="0" w:color="000000"/>
            </w:tcBorders>
            <w:shd w:val="clear" w:color="auto" w:fill="C5E0B3" w:themeFill="accent6" w:themeFillTint="66"/>
          </w:tcPr>
          <w:p w14:paraId="3AC152D4" w14:textId="6A5B2E70" w:rsidR="00A01978" w:rsidRPr="00574D1C" w:rsidRDefault="00F001AB" w:rsidP="002E201F">
            <w:pPr>
              <w:keepLines/>
              <w:widowControl w:val="0"/>
              <w:jc w:val="center"/>
              <w:rPr>
                <w:rFonts w:cstheme="minorHAnsi"/>
                <w:b/>
                <w:sz w:val="20"/>
                <w:szCs w:val="20"/>
                <w:lang w:val="sr-Cyrl-RS"/>
              </w:rPr>
            </w:pPr>
            <w:r w:rsidRPr="00574D1C">
              <w:rPr>
                <w:rFonts w:cstheme="minorHAnsi"/>
                <w:b/>
                <w:sz w:val="20"/>
                <w:szCs w:val="20"/>
                <w:lang w:val="sr-Cyrl-RS"/>
              </w:rPr>
              <w:t>РОК</w:t>
            </w:r>
          </w:p>
        </w:tc>
        <w:tc>
          <w:tcPr>
            <w:tcW w:w="3690" w:type="dxa"/>
            <w:tcBorders>
              <w:top w:val="single" w:sz="4" w:space="0" w:color="000000"/>
            </w:tcBorders>
            <w:shd w:val="clear" w:color="auto" w:fill="C5E0B3" w:themeFill="accent6" w:themeFillTint="66"/>
          </w:tcPr>
          <w:p w14:paraId="259354B3" w14:textId="2E68E380" w:rsidR="00A01978" w:rsidRPr="00574D1C" w:rsidRDefault="00F001AB" w:rsidP="002E201F">
            <w:pPr>
              <w:keepLines/>
              <w:widowControl w:val="0"/>
              <w:rPr>
                <w:rFonts w:cstheme="minorHAnsi"/>
                <w:b/>
                <w:sz w:val="20"/>
                <w:szCs w:val="20"/>
                <w:lang w:val="sr-Cyrl-RS"/>
              </w:rPr>
            </w:pPr>
            <w:r w:rsidRPr="00574D1C">
              <w:rPr>
                <w:rFonts w:cstheme="minorHAnsi"/>
                <w:b/>
                <w:sz w:val="20"/>
                <w:szCs w:val="20"/>
                <w:lang w:val="sr-Cyrl-RS"/>
              </w:rPr>
              <w:t>НОСИЛАЦ АКТИВНОСТИ</w:t>
            </w:r>
          </w:p>
        </w:tc>
      </w:tr>
      <w:tr w:rsidR="00502173" w:rsidRPr="00574D1C" w14:paraId="3D1122BF" w14:textId="77777777" w:rsidTr="00594521">
        <w:trPr>
          <w:cantSplit/>
          <w:trHeight w:val="20"/>
        </w:trPr>
        <w:tc>
          <w:tcPr>
            <w:tcW w:w="715" w:type="dxa"/>
          </w:tcPr>
          <w:p w14:paraId="577C00AF" w14:textId="77777777" w:rsidR="00502173" w:rsidRPr="00574D1C" w:rsidRDefault="00502173" w:rsidP="005D394E">
            <w:pPr>
              <w:keepLines/>
              <w:widowControl w:val="0"/>
              <w:jc w:val="center"/>
              <w:rPr>
                <w:rFonts w:cstheme="minorHAnsi"/>
                <w:sz w:val="20"/>
                <w:szCs w:val="20"/>
                <w:lang w:val="sr-Cyrl-RS"/>
              </w:rPr>
            </w:pPr>
            <w:r w:rsidRPr="00574D1C">
              <w:rPr>
                <w:rFonts w:cstheme="minorHAnsi"/>
                <w:sz w:val="20"/>
                <w:szCs w:val="20"/>
                <w:lang w:val="sr-Cyrl-RS"/>
              </w:rPr>
              <w:t>1.3</w:t>
            </w:r>
          </w:p>
        </w:tc>
        <w:tc>
          <w:tcPr>
            <w:tcW w:w="6120" w:type="dxa"/>
          </w:tcPr>
          <w:p w14:paraId="0F6C7C78" w14:textId="77777777" w:rsidR="004418A3" w:rsidRPr="00574D1C" w:rsidRDefault="00074B2A" w:rsidP="004418A3">
            <w:pPr>
              <w:spacing w:line="259" w:lineRule="auto"/>
              <w:contextualSpacing/>
              <w:rPr>
                <w:rFonts w:cstheme="minorHAnsi"/>
                <w:sz w:val="20"/>
                <w:szCs w:val="20"/>
                <w:lang w:val="sr-Cyrl-RS"/>
              </w:rPr>
            </w:pPr>
            <w:r w:rsidRPr="00574D1C">
              <w:rPr>
                <w:rFonts w:cstheme="minorHAnsi"/>
                <w:b/>
                <w:color w:val="4472C4" w:themeColor="accent1"/>
                <w:sz w:val="20"/>
                <w:szCs w:val="20"/>
                <w:lang w:val="sr-Cyrl-RS"/>
              </w:rPr>
              <w:t>ИЗУЗЕЦИ</w:t>
            </w:r>
            <w:r w:rsidR="00AF47D7" w:rsidRPr="00574D1C">
              <w:rPr>
                <w:rFonts w:cstheme="minorHAnsi"/>
                <w:b/>
                <w:color w:val="4472C4" w:themeColor="accent1"/>
                <w:sz w:val="20"/>
                <w:szCs w:val="20"/>
                <w:lang w:val="sr-Cyrl-RS"/>
              </w:rPr>
              <w:t>:</w:t>
            </w:r>
            <w:r w:rsidR="000D1A02" w:rsidRPr="00574D1C">
              <w:rPr>
                <w:rFonts w:cstheme="minorHAnsi"/>
                <w:b/>
                <w:color w:val="4472C4" w:themeColor="accent1"/>
                <w:sz w:val="20"/>
                <w:szCs w:val="20"/>
                <w:lang w:val="sr-Cyrl-RS"/>
              </w:rPr>
              <w:t xml:space="preserve"> </w:t>
            </w:r>
            <w:r w:rsidR="004418A3" w:rsidRPr="00574D1C">
              <w:rPr>
                <w:rFonts w:cstheme="minorHAnsi"/>
                <w:sz w:val="20"/>
                <w:szCs w:val="20"/>
                <w:lang w:val="sr-Cyrl-RS"/>
              </w:rPr>
              <w:t>Следеће врсте активности не испуњавају услове за финансирање у оквиру Пројекта:</w:t>
            </w:r>
          </w:p>
          <w:p w14:paraId="3DC2925D" w14:textId="77777777" w:rsidR="004418A3" w:rsidRPr="00574D1C" w:rsidRDefault="004418A3" w:rsidP="00E537EA">
            <w:pPr>
              <w:pStyle w:val="ListParagraph"/>
              <w:numPr>
                <w:ilvl w:val="0"/>
                <w:numId w:val="23"/>
              </w:numPr>
              <w:spacing w:after="0" w:line="259" w:lineRule="auto"/>
              <w:ind w:left="714" w:hanging="357"/>
              <w:contextualSpacing/>
              <w:jc w:val="left"/>
              <w:rPr>
                <w:rFonts w:eastAsiaTheme="minorHAnsi" w:cstheme="minorHAnsi"/>
                <w:sz w:val="20"/>
                <w:szCs w:val="20"/>
                <w:lang w:val="sr-Cyrl-RS"/>
              </w:rPr>
            </w:pPr>
            <w:r w:rsidRPr="00574D1C">
              <w:rPr>
                <w:rFonts w:eastAsiaTheme="minorHAnsi" w:cstheme="minorHAnsi"/>
                <w:sz w:val="20"/>
                <w:szCs w:val="20"/>
                <w:lang w:val="sr-Cyrl-RS"/>
              </w:rPr>
              <w:t>активности које могу изазвати дугорочне, трајне и/или неотклоњиве негативне последице по животну средину (нпр. нестанак значајног природног станишта);</w:t>
            </w:r>
          </w:p>
          <w:p w14:paraId="0625F646" w14:textId="77777777" w:rsidR="004418A3" w:rsidRPr="00574D1C" w:rsidRDefault="004418A3" w:rsidP="00E537EA">
            <w:pPr>
              <w:pStyle w:val="ListParagraph"/>
              <w:numPr>
                <w:ilvl w:val="0"/>
                <w:numId w:val="23"/>
              </w:numPr>
              <w:spacing w:after="0" w:line="259" w:lineRule="auto"/>
              <w:ind w:left="714" w:hanging="357"/>
              <w:contextualSpacing/>
              <w:jc w:val="left"/>
              <w:rPr>
                <w:rFonts w:eastAsiaTheme="minorHAnsi" w:cstheme="minorHAnsi"/>
                <w:sz w:val="20"/>
                <w:szCs w:val="20"/>
                <w:lang w:val="sr-Cyrl-RS"/>
              </w:rPr>
            </w:pPr>
            <w:r w:rsidRPr="00574D1C">
              <w:rPr>
                <w:rFonts w:eastAsiaTheme="minorHAnsi" w:cstheme="minorHAnsi"/>
                <w:sz w:val="20"/>
                <w:szCs w:val="20"/>
                <w:lang w:val="sr-Cyrl-RS"/>
              </w:rPr>
              <w:t>активности које могу изазвати значајне негативне социјалне последице и могу за последицу имати значајне социјалне конфликте;</w:t>
            </w:r>
          </w:p>
          <w:p w14:paraId="45BB47E3" w14:textId="77777777" w:rsidR="004418A3" w:rsidRPr="00574D1C" w:rsidRDefault="004418A3" w:rsidP="00E537EA">
            <w:pPr>
              <w:pStyle w:val="ListParagraph"/>
              <w:numPr>
                <w:ilvl w:val="0"/>
                <w:numId w:val="23"/>
              </w:numPr>
              <w:spacing w:after="0" w:line="259" w:lineRule="auto"/>
              <w:ind w:left="714" w:hanging="357"/>
              <w:contextualSpacing/>
              <w:jc w:val="left"/>
              <w:rPr>
                <w:rFonts w:eastAsiaTheme="minorHAnsi" w:cstheme="minorHAnsi"/>
                <w:sz w:val="20"/>
                <w:szCs w:val="20"/>
                <w:lang w:val="sr-Cyrl-RS"/>
              </w:rPr>
            </w:pPr>
            <w:r w:rsidRPr="00574D1C">
              <w:rPr>
                <w:rFonts w:eastAsiaTheme="minorHAnsi" w:cstheme="minorHAnsi"/>
                <w:sz w:val="20"/>
                <w:szCs w:val="20"/>
                <w:lang w:val="sr-Cyrl-RS"/>
              </w:rPr>
              <w:t>активности које могу утицати на земљу на којој живе припадници мањинских заједница или на њихова права;</w:t>
            </w:r>
          </w:p>
          <w:p w14:paraId="6E946E2E" w14:textId="6BE42BEF" w:rsidR="004418A3" w:rsidRPr="00574D1C" w:rsidRDefault="004418A3" w:rsidP="00E537EA">
            <w:pPr>
              <w:pStyle w:val="ListParagraph"/>
              <w:numPr>
                <w:ilvl w:val="0"/>
                <w:numId w:val="23"/>
              </w:numPr>
              <w:spacing w:after="0" w:line="259" w:lineRule="auto"/>
              <w:ind w:left="714" w:hanging="357"/>
              <w:contextualSpacing/>
              <w:jc w:val="left"/>
              <w:rPr>
                <w:rFonts w:eastAsiaTheme="minorHAnsi" w:cstheme="minorHAnsi"/>
                <w:sz w:val="20"/>
                <w:szCs w:val="20"/>
                <w:lang w:val="sr-Cyrl-RS"/>
              </w:rPr>
            </w:pPr>
            <w:r w:rsidRPr="00574D1C">
              <w:rPr>
                <w:rFonts w:eastAsiaTheme="minorHAnsi" w:cstheme="minorHAnsi"/>
                <w:sz w:val="20"/>
                <w:szCs w:val="20"/>
                <w:lang w:val="sr-Cyrl-RS"/>
              </w:rPr>
              <w:t xml:space="preserve">активности које могу да подразумевају </w:t>
            </w:r>
            <w:r w:rsidR="00310FF7">
              <w:rPr>
                <w:rFonts w:eastAsiaTheme="minorHAnsi" w:cstheme="minorHAnsi"/>
                <w:sz w:val="20"/>
                <w:szCs w:val="20"/>
                <w:lang w:val="sr-Cyrl-RS"/>
              </w:rPr>
              <w:t xml:space="preserve">било какво </w:t>
            </w:r>
            <w:r w:rsidRPr="00574D1C">
              <w:rPr>
                <w:rFonts w:eastAsiaTheme="minorHAnsi" w:cstheme="minorHAnsi"/>
                <w:sz w:val="20"/>
                <w:szCs w:val="20"/>
                <w:lang w:val="sr-Cyrl-RS"/>
              </w:rPr>
              <w:t>р</w:t>
            </w:r>
            <w:r w:rsidR="00310FF7">
              <w:rPr>
                <w:rFonts w:eastAsiaTheme="minorHAnsi" w:cstheme="minorHAnsi"/>
                <w:sz w:val="20"/>
                <w:szCs w:val="20"/>
                <w:lang w:val="sr-Cyrl-RS"/>
              </w:rPr>
              <w:t>а</w:t>
            </w:r>
            <w:r w:rsidRPr="00574D1C">
              <w:rPr>
                <w:rFonts w:eastAsiaTheme="minorHAnsi" w:cstheme="minorHAnsi"/>
                <w:sz w:val="20"/>
                <w:szCs w:val="20"/>
                <w:lang w:val="sr-Cyrl-RS"/>
              </w:rPr>
              <w:t>сељ</w:t>
            </w:r>
            <w:r w:rsidR="00310FF7">
              <w:rPr>
                <w:rFonts w:eastAsiaTheme="minorHAnsi" w:cstheme="minorHAnsi"/>
                <w:sz w:val="20"/>
                <w:szCs w:val="20"/>
                <w:lang w:val="sr-Cyrl-RS"/>
              </w:rPr>
              <w:t>ава</w:t>
            </w:r>
            <w:r w:rsidRPr="00574D1C">
              <w:rPr>
                <w:rFonts w:eastAsiaTheme="minorHAnsi" w:cstheme="minorHAnsi"/>
                <w:sz w:val="20"/>
                <w:szCs w:val="20"/>
                <w:lang w:val="sr-Cyrl-RS"/>
              </w:rPr>
              <w:t xml:space="preserve">ње </w:t>
            </w:r>
            <w:r w:rsidR="00310FF7">
              <w:rPr>
                <w:rFonts w:eastAsiaTheme="minorHAnsi" w:cstheme="minorHAnsi"/>
                <w:sz w:val="20"/>
                <w:szCs w:val="20"/>
                <w:lang w:val="sr-Cyrl-RS"/>
              </w:rPr>
              <w:t xml:space="preserve">(трајно </w:t>
            </w:r>
            <w:r w:rsidRPr="00574D1C">
              <w:rPr>
                <w:rFonts w:eastAsiaTheme="minorHAnsi" w:cstheme="minorHAnsi"/>
                <w:sz w:val="20"/>
                <w:szCs w:val="20"/>
                <w:lang w:val="sr-Cyrl-RS"/>
              </w:rPr>
              <w:t xml:space="preserve">или </w:t>
            </w:r>
            <w:r w:rsidR="00310FF7">
              <w:rPr>
                <w:rFonts w:eastAsiaTheme="minorHAnsi" w:cstheme="minorHAnsi"/>
                <w:sz w:val="20"/>
                <w:szCs w:val="20"/>
                <w:lang w:val="sr-Cyrl-RS"/>
              </w:rPr>
              <w:t xml:space="preserve">привремено) </w:t>
            </w:r>
            <w:r w:rsidR="00953C17">
              <w:rPr>
                <w:rFonts w:eastAsiaTheme="minorHAnsi" w:cstheme="minorHAnsi"/>
                <w:sz w:val="20"/>
                <w:szCs w:val="20"/>
                <w:lang w:val="sr-Cyrl-RS"/>
              </w:rPr>
              <w:t xml:space="preserve">или </w:t>
            </w:r>
            <w:r w:rsidRPr="00574D1C">
              <w:rPr>
                <w:rFonts w:eastAsiaTheme="minorHAnsi" w:cstheme="minorHAnsi"/>
                <w:sz w:val="20"/>
                <w:szCs w:val="20"/>
                <w:lang w:val="sr-Cyrl-RS"/>
              </w:rPr>
              <w:t xml:space="preserve">куповину </w:t>
            </w:r>
            <w:r w:rsidR="006674D5">
              <w:rPr>
                <w:rFonts w:eastAsiaTheme="minorHAnsi" w:cstheme="minorHAnsi"/>
                <w:sz w:val="20"/>
                <w:szCs w:val="20"/>
                <w:lang w:val="en-GB"/>
              </w:rPr>
              <w:t>/</w:t>
            </w:r>
            <w:r w:rsidR="006674D5">
              <w:rPr>
                <w:rFonts w:eastAsiaTheme="minorHAnsi" w:cstheme="minorHAnsi"/>
                <w:sz w:val="20"/>
                <w:szCs w:val="20"/>
                <w:lang w:val="sr-Cyrl-RS"/>
              </w:rPr>
              <w:t xml:space="preserve"> ограничење </w:t>
            </w:r>
            <w:r w:rsidR="00E4222A">
              <w:rPr>
                <w:rFonts w:eastAsiaTheme="minorHAnsi" w:cstheme="minorHAnsi"/>
                <w:sz w:val="20"/>
                <w:szCs w:val="20"/>
                <w:lang w:val="sr-Cyrl-RS"/>
              </w:rPr>
              <w:t>намене</w:t>
            </w:r>
            <w:r w:rsidR="006674D5" w:rsidRPr="00574D1C">
              <w:rPr>
                <w:rFonts w:eastAsiaTheme="minorHAnsi" w:cstheme="minorHAnsi"/>
                <w:sz w:val="20"/>
                <w:szCs w:val="20"/>
                <w:lang w:val="sr-Cyrl-RS"/>
              </w:rPr>
              <w:t xml:space="preserve"> </w:t>
            </w:r>
            <w:r w:rsidRPr="00574D1C">
              <w:rPr>
                <w:rFonts w:eastAsiaTheme="minorHAnsi" w:cstheme="minorHAnsi"/>
                <w:sz w:val="20"/>
                <w:szCs w:val="20"/>
                <w:lang w:val="sr-Cyrl-RS"/>
              </w:rPr>
              <w:t>земљишта</w:t>
            </w:r>
            <w:r w:rsidR="00953C17">
              <w:rPr>
                <w:rFonts w:eastAsiaTheme="minorHAnsi" w:cstheme="minorHAnsi"/>
                <w:sz w:val="20"/>
                <w:szCs w:val="20"/>
                <w:lang w:val="sr-Cyrl-RS"/>
              </w:rPr>
              <w:t xml:space="preserve"> </w:t>
            </w:r>
            <w:r w:rsidRPr="00574D1C">
              <w:rPr>
                <w:rFonts w:eastAsiaTheme="minorHAnsi" w:cstheme="minorHAnsi"/>
                <w:sz w:val="20"/>
                <w:szCs w:val="20"/>
                <w:lang w:val="sr-Cyrl-RS"/>
              </w:rPr>
              <w:t>или негативан утицај на културно наслеђе; и</w:t>
            </w:r>
          </w:p>
          <w:p w14:paraId="105C3B9C" w14:textId="308A3C50" w:rsidR="00502173" w:rsidRPr="00574D1C" w:rsidRDefault="004418A3" w:rsidP="00E537EA">
            <w:pPr>
              <w:pStyle w:val="ListParagraph"/>
              <w:numPr>
                <w:ilvl w:val="0"/>
                <w:numId w:val="23"/>
              </w:numPr>
              <w:spacing w:after="0" w:line="259" w:lineRule="auto"/>
              <w:ind w:left="714" w:hanging="357"/>
              <w:contextualSpacing/>
              <w:jc w:val="left"/>
              <w:rPr>
                <w:rFonts w:cstheme="minorHAnsi"/>
                <w:sz w:val="20"/>
                <w:szCs w:val="20"/>
                <w:lang w:val="sr-Cyrl-RS"/>
              </w:rPr>
            </w:pPr>
            <w:r w:rsidRPr="00574D1C">
              <w:rPr>
                <w:rFonts w:eastAsiaTheme="minorHAnsi" w:cstheme="minorHAnsi"/>
                <w:sz w:val="20"/>
                <w:szCs w:val="20"/>
                <w:lang w:val="sr-Cyrl-RS"/>
              </w:rPr>
              <w:t xml:space="preserve">све друге активности чије је изузимање прописано </w:t>
            </w:r>
            <w:r w:rsidR="00655373">
              <w:rPr>
                <w:rFonts w:eastAsiaTheme="minorHAnsi" w:cstheme="minorHAnsi"/>
                <w:sz w:val="20"/>
                <w:szCs w:val="20"/>
                <w:lang w:val="sr-Latn-RS"/>
              </w:rPr>
              <w:t>ES</w:t>
            </w:r>
            <w:r w:rsidR="00290945">
              <w:rPr>
                <w:rFonts w:eastAsiaTheme="minorHAnsi" w:cstheme="minorHAnsi"/>
                <w:sz w:val="20"/>
                <w:szCs w:val="20"/>
                <w:lang w:val="sr-Latn-RS"/>
              </w:rPr>
              <w:t>MF</w:t>
            </w:r>
            <w:r w:rsidRPr="00574D1C">
              <w:rPr>
                <w:rFonts w:eastAsiaTheme="minorHAnsi" w:cstheme="minorHAnsi"/>
                <w:sz w:val="20"/>
                <w:szCs w:val="20"/>
                <w:lang w:val="sr-Cyrl-RS"/>
              </w:rPr>
              <w:t>-ом за Пројекат.</w:t>
            </w:r>
          </w:p>
        </w:tc>
        <w:tc>
          <w:tcPr>
            <w:tcW w:w="3780" w:type="dxa"/>
          </w:tcPr>
          <w:p w14:paraId="3D678D1E" w14:textId="609623E5" w:rsidR="00502173" w:rsidRPr="00574D1C" w:rsidRDefault="004418A3" w:rsidP="00074B2A">
            <w:pPr>
              <w:keepLines/>
              <w:widowControl w:val="0"/>
              <w:rPr>
                <w:rFonts w:cstheme="minorHAnsi"/>
                <w:sz w:val="20"/>
                <w:szCs w:val="20"/>
                <w:lang w:val="sr-Cyrl-RS"/>
              </w:rPr>
            </w:pPr>
            <w:r w:rsidRPr="00574D1C">
              <w:rPr>
                <w:rFonts w:eastAsia="Times New Roman" w:cstheme="minorHAnsi"/>
                <w:bCs/>
                <w:sz w:val="20"/>
                <w:szCs w:val="20"/>
                <w:lang w:val="sr-Cyrl-RS"/>
              </w:rPr>
              <w:t xml:space="preserve">Ови изузеци се примењују у оквиру поступка оцене спроведеног у складу са радњом 1.2.а </w:t>
            </w:r>
            <w:r w:rsidR="00124378" w:rsidRPr="00574D1C">
              <w:rPr>
                <w:rFonts w:eastAsia="Times New Roman" w:cstheme="minorHAnsi"/>
                <w:bCs/>
                <w:sz w:val="20"/>
                <w:szCs w:val="20"/>
                <w:lang w:val="sr-Cyrl-RS"/>
              </w:rPr>
              <w:t xml:space="preserve">описаном </w:t>
            </w:r>
            <w:r w:rsidRPr="00574D1C">
              <w:rPr>
                <w:rFonts w:eastAsia="Times New Roman" w:cstheme="minorHAnsi"/>
                <w:bCs/>
                <w:sz w:val="20"/>
                <w:szCs w:val="20"/>
                <w:lang w:val="sr-Cyrl-RS"/>
              </w:rPr>
              <w:t>у горњем тексту.</w:t>
            </w:r>
          </w:p>
        </w:tc>
        <w:tc>
          <w:tcPr>
            <w:tcW w:w="3690" w:type="dxa"/>
          </w:tcPr>
          <w:p w14:paraId="489D8047" w14:textId="6F4FD277" w:rsidR="00502173" w:rsidRPr="00574D1C" w:rsidRDefault="00D729F8" w:rsidP="005D394E">
            <w:pPr>
              <w:keepLines/>
              <w:widowControl w:val="0"/>
              <w:rPr>
                <w:rFonts w:cstheme="minorHAnsi"/>
                <w:iCs/>
                <w:sz w:val="20"/>
                <w:szCs w:val="20"/>
                <w:lang w:val="sr-Cyrl-RS"/>
              </w:rPr>
            </w:pPr>
            <w:r w:rsidRPr="00574D1C">
              <w:rPr>
                <w:rFonts w:cstheme="minorHAnsi"/>
                <w:iCs/>
                <w:sz w:val="20"/>
                <w:szCs w:val="20"/>
                <w:lang w:val="sr-Cyrl-RS"/>
              </w:rPr>
              <w:t>ЈКП МЗ</w:t>
            </w:r>
          </w:p>
        </w:tc>
      </w:tr>
      <w:tr w:rsidR="00502173" w:rsidRPr="00574D1C" w14:paraId="24AAF5F3" w14:textId="77777777" w:rsidTr="000D1A02">
        <w:trPr>
          <w:cantSplit/>
          <w:trHeight w:val="134"/>
        </w:trPr>
        <w:tc>
          <w:tcPr>
            <w:tcW w:w="14305" w:type="dxa"/>
            <w:gridSpan w:val="4"/>
            <w:shd w:val="clear" w:color="auto" w:fill="F4B083" w:themeFill="accent2" w:themeFillTint="99"/>
          </w:tcPr>
          <w:p w14:paraId="2B02C777" w14:textId="076F15FC" w:rsidR="000D1A02" w:rsidRPr="00574D1C" w:rsidRDefault="00502173" w:rsidP="005D394E">
            <w:pPr>
              <w:keepLines/>
              <w:widowControl w:val="0"/>
              <w:rPr>
                <w:rFonts w:cstheme="minorHAnsi"/>
                <w:b/>
                <w:sz w:val="20"/>
                <w:szCs w:val="20"/>
                <w:lang w:val="sr-Cyrl-RS"/>
              </w:rPr>
            </w:pPr>
            <w:r w:rsidRPr="00574D1C">
              <w:rPr>
                <w:rFonts w:cstheme="minorHAnsi"/>
                <w:b/>
                <w:sz w:val="20"/>
                <w:szCs w:val="20"/>
                <w:lang w:val="sr-Cyrl-RS"/>
              </w:rPr>
              <w:t xml:space="preserve">ESS 2: </w:t>
            </w:r>
            <w:r w:rsidR="00825B44" w:rsidRPr="00574D1C">
              <w:rPr>
                <w:rFonts w:cstheme="minorHAnsi"/>
                <w:b/>
                <w:sz w:val="20"/>
                <w:szCs w:val="20"/>
                <w:lang w:val="sr-Cyrl-RS"/>
              </w:rPr>
              <w:t>РАДНИ ОДНОСИ</w:t>
            </w:r>
            <w:r w:rsidR="00F001AB" w:rsidRPr="00574D1C">
              <w:rPr>
                <w:rFonts w:cstheme="minorHAnsi"/>
                <w:b/>
                <w:sz w:val="20"/>
                <w:szCs w:val="20"/>
                <w:lang w:val="sr-Cyrl-RS"/>
              </w:rPr>
              <w:t xml:space="preserve"> И УСЛОВИ РАДА</w:t>
            </w:r>
          </w:p>
        </w:tc>
      </w:tr>
      <w:tr w:rsidR="00502173" w:rsidRPr="00574D1C" w14:paraId="752A32E9" w14:textId="77777777" w:rsidTr="00594521">
        <w:trPr>
          <w:cantSplit/>
          <w:trHeight w:val="20"/>
        </w:trPr>
        <w:tc>
          <w:tcPr>
            <w:tcW w:w="715" w:type="dxa"/>
          </w:tcPr>
          <w:p w14:paraId="588298D6" w14:textId="77777777" w:rsidR="00502173" w:rsidRPr="00574D1C" w:rsidRDefault="00502173" w:rsidP="005D394E">
            <w:pPr>
              <w:keepLines/>
              <w:widowControl w:val="0"/>
              <w:jc w:val="center"/>
              <w:rPr>
                <w:rFonts w:cstheme="minorHAnsi"/>
                <w:sz w:val="20"/>
                <w:szCs w:val="20"/>
                <w:lang w:val="sr-Cyrl-RS"/>
              </w:rPr>
            </w:pPr>
            <w:r w:rsidRPr="00574D1C">
              <w:rPr>
                <w:rFonts w:cstheme="minorHAnsi"/>
                <w:sz w:val="20"/>
                <w:szCs w:val="20"/>
                <w:lang w:val="sr-Cyrl-RS"/>
              </w:rPr>
              <w:t>2.1</w:t>
            </w:r>
          </w:p>
        </w:tc>
        <w:tc>
          <w:tcPr>
            <w:tcW w:w="6120" w:type="dxa"/>
          </w:tcPr>
          <w:p w14:paraId="50567F23" w14:textId="4EAD7A5B" w:rsidR="00E01421" w:rsidRPr="00574D1C" w:rsidRDefault="00825B44" w:rsidP="005D394E">
            <w:pPr>
              <w:keepLines/>
              <w:widowControl w:val="0"/>
              <w:rPr>
                <w:rFonts w:cstheme="minorHAnsi"/>
                <w:sz w:val="20"/>
                <w:szCs w:val="20"/>
                <w:lang w:val="sr-Cyrl-RS"/>
              </w:rPr>
            </w:pPr>
            <w:r w:rsidRPr="00574D1C">
              <w:rPr>
                <w:rFonts w:cstheme="minorHAnsi"/>
                <w:b/>
                <w:color w:val="4472C4" w:themeColor="accent1"/>
                <w:sz w:val="20"/>
                <w:szCs w:val="20"/>
                <w:lang w:val="sr-Cyrl-RS"/>
              </w:rPr>
              <w:t>УПРАВЉАЊЕ РАДНИМ ОДНОСИМА</w:t>
            </w:r>
            <w:r w:rsidR="00345015" w:rsidRPr="00574D1C">
              <w:rPr>
                <w:rFonts w:cstheme="minorHAnsi"/>
                <w:b/>
                <w:color w:val="4472C4" w:themeColor="accent1"/>
                <w:sz w:val="20"/>
                <w:szCs w:val="20"/>
                <w:lang w:val="sr-Cyrl-RS"/>
              </w:rPr>
              <w:t xml:space="preserve">: </w:t>
            </w:r>
            <w:r w:rsidR="00E01421" w:rsidRPr="00574D1C">
              <w:rPr>
                <w:rFonts w:cstheme="minorHAnsi"/>
                <w:sz w:val="20"/>
                <w:szCs w:val="20"/>
                <w:lang w:val="sr-Cyrl-RS"/>
              </w:rPr>
              <w:t>Пројекат ће се реализовати у складу са одговарајућим условима из стандарда ESS2, на начин који Банка сматра прихватљивим, укључујући нарочито примену одговарајућих мера безбедности и здравља на раду (укључујући мере спремности и реаговања на ванредне ситуације), успостављање механизама за решавање притужби запослених на Пројекту и укључивање услова везаних за радне односе у одредбе везаних за животну средину, социјална питања и безбедност и здравље на раду у тендерску документацију и уговоре са уговарачима и фирмама које врше надзор.</w:t>
            </w:r>
          </w:p>
          <w:p w14:paraId="252E36FD" w14:textId="43A3917E" w:rsidR="00DD2CC1" w:rsidRPr="00574D1C" w:rsidRDefault="00823FFE" w:rsidP="005D394E">
            <w:pPr>
              <w:keepLines/>
              <w:widowControl w:val="0"/>
              <w:rPr>
                <w:rFonts w:cstheme="minorHAnsi"/>
                <w:b/>
                <w:color w:val="4472C4" w:themeColor="accent1"/>
                <w:sz w:val="20"/>
                <w:szCs w:val="20"/>
                <w:lang w:val="sr-Cyrl-RS"/>
              </w:rPr>
            </w:pPr>
            <w:r>
              <w:rPr>
                <w:rFonts w:cstheme="minorHAnsi"/>
                <w:sz w:val="20"/>
                <w:szCs w:val="20"/>
                <w:lang w:val="sr-Cyrl-RS"/>
              </w:rPr>
              <w:t>Зајмопримац ће</w:t>
            </w:r>
            <w:r w:rsidRPr="00574D1C">
              <w:rPr>
                <w:rFonts w:cstheme="minorHAnsi"/>
                <w:sz w:val="20"/>
                <w:szCs w:val="20"/>
                <w:lang w:val="sr-Cyrl-RS"/>
              </w:rPr>
              <w:t xml:space="preserve"> </w:t>
            </w:r>
            <w:r w:rsidR="00E01421" w:rsidRPr="00574D1C">
              <w:rPr>
                <w:rFonts w:cstheme="minorHAnsi"/>
                <w:sz w:val="20"/>
                <w:szCs w:val="20"/>
                <w:lang w:val="sr-Cyrl-RS"/>
              </w:rPr>
              <w:t>изра</w:t>
            </w:r>
            <w:r>
              <w:rPr>
                <w:rFonts w:cstheme="minorHAnsi"/>
                <w:sz w:val="20"/>
                <w:szCs w:val="20"/>
                <w:lang w:val="sr-Cyrl-RS"/>
              </w:rPr>
              <w:t>дити и унети у</w:t>
            </w:r>
            <w:r w:rsidR="00E01421" w:rsidRPr="00574D1C">
              <w:rPr>
                <w:rFonts w:cstheme="minorHAnsi"/>
                <w:sz w:val="20"/>
                <w:szCs w:val="20"/>
                <w:lang w:val="sr-Cyrl-RS"/>
              </w:rPr>
              <w:t xml:space="preserve"> ESMF процедуре за управљање радним односима којима ће се уредити питања радних односа и безбедности и здравља на раду у погледу изложености ковиду-19 и у вези са другим питањима</w:t>
            </w:r>
            <w:r w:rsidR="00BD651D">
              <w:rPr>
                <w:rFonts w:cstheme="minorHAnsi"/>
                <w:sz w:val="20"/>
                <w:szCs w:val="20"/>
                <w:lang w:val="sr-Cyrl-RS"/>
              </w:rPr>
              <w:t xml:space="preserve"> и то пре спровођења одговара</w:t>
            </w:r>
            <w:r w:rsidR="003C6AC7">
              <w:rPr>
                <w:rFonts w:cstheme="minorHAnsi"/>
                <w:sz w:val="20"/>
                <w:szCs w:val="20"/>
                <w:lang w:val="sr-Cyrl-RS"/>
              </w:rPr>
              <w:t>ју</w:t>
            </w:r>
            <w:r w:rsidR="00BD651D">
              <w:rPr>
                <w:rFonts w:cstheme="minorHAnsi"/>
                <w:sz w:val="20"/>
                <w:szCs w:val="20"/>
                <w:lang w:val="sr-Cyrl-RS"/>
              </w:rPr>
              <w:t>ћих активности П</w:t>
            </w:r>
            <w:r w:rsidR="003C6AC7">
              <w:rPr>
                <w:rFonts w:cstheme="minorHAnsi"/>
                <w:sz w:val="20"/>
                <w:szCs w:val="20"/>
                <w:lang w:val="sr-Cyrl-RS"/>
              </w:rPr>
              <w:t>р</w:t>
            </w:r>
            <w:r w:rsidR="00BD651D">
              <w:rPr>
                <w:rFonts w:cstheme="minorHAnsi"/>
                <w:sz w:val="20"/>
                <w:szCs w:val="20"/>
                <w:lang w:val="sr-Cyrl-RS"/>
              </w:rPr>
              <w:t>ојекта.</w:t>
            </w:r>
          </w:p>
        </w:tc>
        <w:tc>
          <w:tcPr>
            <w:tcW w:w="3780" w:type="dxa"/>
          </w:tcPr>
          <w:p w14:paraId="79005B4D" w14:textId="751169BC" w:rsidR="00502173" w:rsidRPr="00574D1C" w:rsidRDefault="000A06DE" w:rsidP="000A06DE">
            <w:pPr>
              <w:keepLines/>
              <w:widowControl w:val="0"/>
              <w:rPr>
                <w:rFonts w:eastAsia="Times New Roman" w:cstheme="minorHAnsi"/>
                <w:bCs/>
                <w:i/>
                <w:sz w:val="20"/>
                <w:szCs w:val="20"/>
                <w:lang w:val="sr-Cyrl-RS"/>
              </w:rPr>
            </w:pPr>
            <w:r w:rsidRPr="00574D1C">
              <w:rPr>
                <w:rFonts w:eastAsia="Times New Roman" w:cstheme="minorHAnsi"/>
                <w:bCs/>
                <w:sz w:val="20"/>
                <w:szCs w:val="20"/>
                <w:lang w:val="sr-Cyrl-RS"/>
              </w:rPr>
              <w:t>План за управљање радним односима (</w:t>
            </w:r>
            <w:r w:rsidR="004364A9">
              <w:rPr>
                <w:rFonts w:eastAsia="Times New Roman" w:cstheme="minorHAnsi"/>
                <w:bCs/>
                <w:sz w:val="20"/>
                <w:szCs w:val="20"/>
                <w:lang w:val="sr-Latn-RS"/>
              </w:rPr>
              <w:t>LMP</w:t>
            </w:r>
            <w:r w:rsidRPr="00574D1C">
              <w:rPr>
                <w:rFonts w:eastAsia="Times New Roman" w:cstheme="minorHAnsi"/>
                <w:bCs/>
                <w:sz w:val="20"/>
                <w:szCs w:val="20"/>
                <w:lang w:val="sr-Cyrl-RS"/>
              </w:rPr>
              <w:t xml:space="preserve">), као део </w:t>
            </w:r>
            <w:r w:rsidR="004364A9">
              <w:rPr>
                <w:rFonts w:eastAsia="Times New Roman" w:cstheme="minorHAnsi"/>
                <w:bCs/>
                <w:sz w:val="20"/>
                <w:szCs w:val="20"/>
                <w:lang w:val="sr-Latn-RS"/>
              </w:rPr>
              <w:t>ESMF</w:t>
            </w:r>
            <w:r w:rsidRPr="00574D1C">
              <w:rPr>
                <w:rFonts w:eastAsia="Times New Roman" w:cstheme="minorHAnsi"/>
                <w:bCs/>
                <w:sz w:val="20"/>
                <w:szCs w:val="20"/>
                <w:lang w:val="sr-Cyrl-RS"/>
              </w:rPr>
              <w:t xml:space="preserve">-а, биће усвојен </w:t>
            </w:r>
            <w:r w:rsidR="008D1A64">
              <w:rPr>
                <w:rFonts w:eastAsia="Times New Roman" w:cstheme="minorHAnsi"/>
                <w:bCs/>
                <w:sz w:val="20"/>
                <w:szCs w:val="20"/>
                <w:lang w:val="sr-Cyrl-RS"/>
              </w:rPr>
              <w:t>приближно</w:t>
            </w:r>
            <w:r w:rsidRPr="00574D1C">
              <w:rPr>
                <w:rFonts w:eastAsia="Times New Roman" w:cstheme="minorHAnsi"/>
                <w:bCs/>
                <w:sz w:val="20"/>
                <w:szCs w:val="20"/>
                <w:lang w:val="sr-Cyrl-RS"/>
              </w:rPr>
              <w:t xml:space="preserve"> </w:t>
            </w:r>
            <w:r w:rsidRPr="00574D1C">
              <w:rPr>
                <w:rFonts w:cstheme="minorHAnsi"/>
                <w:sz w:val="20"/>
                <w:szCs w:val="20"/>
                <w:lang w:val="sr-Cyrl-RS"/>
              </w:rPr>
              <w:t>месец дана од дана почетка спровођења Пројекта</w:t>
            </w:r>
            <w:r w:rsidRPr="00574D1C">
              <w:rPr>
                <w:rFonts w:eastAsia="Times New Roman" w:cstheme="minorHAnsi"/>
                <w:bCs/>
                <w:sz w:val="20"/>
                <w:szCs w:val="20"/>
                <w:lang w:val="sr-Cyrl-RS"/>
              </w:rPr>
              <w:t>.</w:t>
            </w:r>
          </w:p>
        </w:tc>
        <w:tc>
          <w:tcPr>
            <w:tcW w:w="3690" w:type="dxa"/>
          </w:tcPr>
          <w:p w14:paraId="1DBB9F8C" w14:textId="54437E5F" w:rsidR="00502173" w:rsidRPr="00574D1C" w:rsidRDefault="00D729F8" w:rsidP="005D394E">
            <w:pPr>
              <w:keepLines/>
              <w:widowControl w:val="0"/>
              <w:rPr>
                <w:rFonts w:cstheme="minorHAnsi"/>
                <w:sz w:val="20"/>
                <w:szCs w:val="20"/>
                <w:lang w:val="sr-Cyrl-RS"/>
              </w:rPr>
            </w:pPr>
            <w:r w:rsidRPr="00574D1C">
              <w:rPr>
                <w:rFonts w:cstheme="minorHAnsi"/>
                <w:iCs/>
                <w:sz w:val="20"/>
                <w:szCs w:val="20"/>
                <w:lang w:val="sr-Cyrl-RS"/>
              </w:rPr>
              <w:t>ЈКП МЗ</w:t>
            </w:r>
          </w:p>
        </w:tc>
      </w:tr>
      <w:tr w:rsidR="00502173" w:rsidRPr="00574D1C" w14:paraId="19FB4073" w14:textId="77777777" w:rsidTr="00594521">
        <w:trPr>
          <w:cantSplit/>
          <w:trHeight w:val="20"/>
        </w:trPr>
        <w:tc>
          <w:tcPr>
            <w:tcW w:w="14305" w:type="dxa"/>
            <w:gridSpan w:val="4"/>
            <w:shd w:val="clear" w:color="auto" w:fill="F4B083" w:themeFill="accent2" w:themeFillTint="99"/>
          </w:tcPr>
          <w:p w14:paraId="5ADAE11F" w14:textId="2493B6C6" w:rsidR="00502173" w:rsidRPr="00574D1C" w:rsidRDefault="00502173" w:rsidP="005D394E">
            <w:pPr>
              <w:keepLines/>
              <w:widowControl w:val="0"/>
              <w:rPr>
                <w:rFonts w:cstheme="minorHAnsi"/>
                <w:sz w:val="20"/>
                <w:szCs w:val="20"/>
                <w:lang w:val="sr-Cyrl-RS"/>
              </w:rPr>
            </w:pPr>
            <w:r w:rsidRPr="00574D1C">
              <w:rPr>
                <w:rFonts w:cstheme="minorHAnsi"/>
                <w:b/>
                <w:sz w:val="20"/>
                <w:szCs w:val="20"/>
                <w:lang w:val="sr-Cyrl-RS"/>
              </w:rPr>
              <w:t xml:space="preserve">ESS 3: </w:t>
            </w:r>
            <w:r w:rsidR="00F001AB" w:rsidRPr="00574D1C">
              <w:rPr>
                <w:rFonts w:cstheme="minorHAnsi"/>
                <w:b/>
                <w:sz w:val="20"/>
                <w:szCs w:val="20"/>
                <w:lang w:val="sr-Cyrl-RS"/>
              </w:rPr>
              <w:t>ЕФИКАСНО КОРИШЋЕЊЕ СРЕДСТАВА И СПРЕЧАВАЊЕ</w:t>
            </w:r>
            <w:r w:rsidRPr="00574D1C">
              <w:rPr>
                <w:rFonts w:cstheme="minorHAnsi"/>
                <w:b/>
                <w:sz w:val="20"/>
                <w:szCs w:val="20"/>
                <w:lang w:val="sr-Cyrl-RS"/>
              </w:rPr>
              <w:t xml:space="preserve"> </w:t>
            </w:r>
            <w:r w:rsidR="00F001AB" w:rsidRPr="00574D1C">
              <w:rPr>
                <w:rFonts w:cstheme="minorHAnsi"/>
                <w:b/>
                <w:sz w:val="20"/>
                <w:szCs w:val="20"/>
                <w:lang w:val="sr-Cyrl-RS"/>
              </w:rPr>
              <w:t>И КОНТРОЛИСАЊЕ ЗАГАЂЕЊА</w:t>
            </w:r>
          </w:p>
        </w:tc>
      </w:tr>
      <w:tr w:rsidR="00345015" w:rsidRPr="00574D1C" w14:paraId="60CF1380" w14:textId="77777777" w:rsidTr="00FB2A07">
        <w:trPr>
          <w:cantSplit/>
          <w:trHeight w:val="20"/>
        </w:trPr>
        <w:tc>
          <w:tcPr>
            <w:tcW w:w="715" w:type="dxa"/>
          </w:tcPr>
          <w:p w14:paraId="719AFD1E" w14:textId="419FD2AD" w:rsidR="00345015" w:rsidRPr="00574D1C" w:rsidRDefault="00345015" w:rsidP="005D394E">
            <w:pPr>
              <w:keepLines/>
              <w:widowControl w:val="0"/>
              <w:jc w:val="center"/>
              <w:rPr>
                <w:rFonts w:cstheme="minorHAnsi"/>
                <w:sz w:val="20"/>
                <w:szCs w:val="20"/>
                <w:lang w:val="sr-Cyrl-RS"/>
              </w:rPr>
            </w:pPr>
          </w:p>
        </w:tc>
        <w:tc>
          <w:tcPr>
            <w:tcW w:w="13590" w:type="dxa"/>
            <w:gridSpan w:val="3"/>
          </w:tcPr>
          <w:p w14:paraId="75E01091" w14:textId="477B52F3" w:rsidR="006557A9" w:rsidRPr="00574D1C" w:rsidRDefault="000A06DE" w:rsidP="000A06DE">
            <w:pPr>
              <w:autoSpaceDE w:val="0"/>
              <w:autoSpaceDN w:val="0"/>
              <w:adjustRightInd w:val="0"/>
              <w:rPr>
                <w:rFonts w:cstheme="minorHAnsi"/>
                <w:sz w:val="20"/>
                <w:szCs w:val="20"/>
                <w:lang w:val="sr-Cyrl-RS"/>
              </w:rPr>
            </w:pPr>
            <w:r w:rsidRPr="00574D1C">
              <w:rPr>
                <w:rFonts w:cstheme="minorHAnsi"/>
                <w:sz w:val="20"/>
                <w:szCs w:val="20"/>
                <w:lang w:val="sr-Cyrl-RS"/>
              </w:rPr>
              <w:t>Узеће се у обзир релевантни аспекти овог стандарда, према потреби, у складу са радњом описаном 1.2. у горњем тексту, укључујући између осталог и мере за управљање медицинским отпадом и другим врстама опасног и општег отпада.</w:t>
            </w:r>
          </w:p>
          <w:p w14:paraId="1552380F" w14:textId="23FAA2CE" w:rsidR="00FE78B0" w:rsidRPr="00574D1C" w:rsidRDefault="00FE78B0" w:rsidP="005D394E">
            <w:pPr>
              <w:keepLines/>
              <w:widowControl w:val="0"/>
              <w:rPr>
                <w:rFonts w:cstheme="minorHAnsi"/>
                <w:sz w:val="20"/>
                <w:szCs w:val="20"/>
                <w:lang w:val="sr-Cyrl-RS"/>
              </w:rPr>
            </w:pPr>
          </w:p>
        </w:tc>
      </w:tr>
      <w:tr w:rsidR="00345015" w:rsidRPr="00574D1C" w14:paraId="626429CE" w14:textId="77777777" w:rsidTr="00345015">
        <w:trPr>
          <w:cantSplit/>
          <w:trHeight w:val="20"/>
        </w:trPr>
        <w:tc>
          <w:tcPr>
            <w:tcW w:w="14305" w:type="dxa"/>
            <w:gridSpan w:val="4"/>
            <w:shd w:val="clear" w:color="auto" w:fill="F4B083" w:themeFill="accent2" w:themeFillTint="99"/>
          </w:tcPr>
          <w:p w14:paraId="3A301A0D" w14:textId="26BF74C0" w:rsidR="00345015" w:rsidRPr="00574D1C" w:rsidRDefault="00345015" w:rsidP="005D394E">
            <w:pPr>
              <w:keepLines/>
              <w:widowControl w:val="0"/>
              <w:rPr>
                <w:rFonts w:cstheme="minorHAnsi"/>
                <w:sz w:val="20"/>
                <w:szCs w:val="20"/>
                <w:lang w:val="sr-Cyrl-RS"/>
              </w:rPr>
            </w:pPr>
            <w:r w:rsidRPr="00574D1C">
              <w:rPr>
                <w:rFonts w:cstheme="minorHAnsi"/>
                <w:b/>
                <w:sz w:val="20"/>
                <w:szCs w:val="20"/>
                <w:lang w:val="sr-Cyrl-RS"/>
              </w:rPr>
              <w:t xml:space="preserve">ESS 4: </w:t>
            </w:r>
            <w:r w:rsidR="00F001AB" w:rsidRPr="00574D1C">
              <w:rPr>
                <w:rFonts w:cstheme="minorHAnsi"/>
                <w:b/>
                <w:sz w:val="20"/>
                <w:szCs w:val="20"/>
                <w:lang w:val="sr-Cyrl-RS"/>
              </w:rPr>
              <w:t>БЕЗБЕДНОСТ И ЗДРАВЉЕ У ЗАЈЕДНИЦИ</w:t>
            </w:r>
          </w:p>
        </w:tc>
      </w:tr>
      <w:tr w:rsidR="00A30A1C" w:rsidRPr="00574D1C" w14:paraId="1D922174" w14:textId="77777777" w:rsidTr="00563701">
        <w:trPr>
          <w:cantSplit/>
          <w:trHeight w:val="20"/>
        </w:trPr>
        <w:tc>
          <w:tcPr>
            <w:tcW w:w="715" w:type="dxa"/>
          </w:tcPr>
          <w:p w14:paraId="51553B3B" w14:textId="77777777" w:rsidR="00A30A1C" w:rsidRPr="00574D1C" w:rsidRDefault="00A30A1C" w:rsidP="005D394E">
            <w:pPr>
              <w:keepLines/>
              <w:widowControl w:val="0"/>
              <w:jc w:val="center"/>
              <w:rPr>
                <w:rFonts w:cstheme="minorHAnsi"/>
                <w:sz w:val="20"/>
                <w:szCs w:val="20"/>
                <w:lang w:val="sr-Cyrl-RS"/>
              </w:rPr>
            </w:pPr>
          </w:p>
        </w:tc>
        <w:tc>
          <w:tcPr>
            <w:tcW w:w="13590" w:type="dxa"/>
            <w:gridSpan w:val="3"/>
          </w:tcPr>
          <w:p w14:paraId="33BCF5F4" w14:textId="6144B979" w:rsidR="00A30A1C" w:rsidRPr="00574D1C" w:rsidRDefault="000A06DE" w:rsidP="00A30A1C">
            <w:pPr>
              <w:keepLines/>
              <w:widowControl w:val="0"/>
              <w:rPr>
                <w:rFonts w:cstheme="minorHAnsi"/>
                <w:sz w:val="20"/>
                <w:szCs w:val="20"/>
                <w:lang w:val="sr-Cyrl-RS"/>
              </w:rPr>
            </w:pPr>
            <w:r w:rsidRPr="00574D1C">
              <w:rPr>
                <w:rFonts w:cstheme="minorHAnsi"/>
                <w:sz w:val="20"/>
                <w:szCs w:val="20"/>
                <w:lang w:val="sr-Cyrl-RS"/>
              </w:rPr>
              <w:t>Узеће се у обзир релевантни аспекти овог стандарда, према потреби, у складу са радњом 1.2. описаном у горњем тексту, укључујући између осталог и мере за минимизирање потенцијалне изложености заједнице заразним болестима; старање о томе да појединци и групе који могу бити осетљиви или у неповољном положају због конкретних околности у којима се налазе буду у стању да остваре развојне користи настале реализацијом Пројекта</w:t>
            </w:r>
            <w:r w:rsidR="00C25561" w:rsidRPr="00574D1C">
              <w:rPr>
                <w:rFonts w:cstheme="minorHAnsi"/>
                <w:sz w:val="20"/>
                <w:szCs w:val="20"/>
                <w:lang w:val="sr-Cyrl-RS"/>
              </w:rPr>
              <w:t xml:space="preserve">; управљање ризицима </w:t>
            </w:r>
            <w:r w:rsidR="00C44CFE" w:rsidRPr="00574D1C">
              <w:rPr>
                <w:rFonts w:cstheme="minorHAnsi"/>
                <w:sz w:val="20"/>
                <w:szCs w:val="20"/>
                <w:lang w:val="sr-Cyrl-RS"/>
              </w:rPr>
              <w:t>ангажовања</w:t>
            </w:r>
            <w:r w:rsidR="00016728" w:rsidRPr="00574D1C">
              <w:rPr>
                <w:rFonts w:cstheme="minorHAnsi"/>
                <w:sz w:val="20"/>
                <w:szCs w:val="20"/>
                <w:lang w:val="sr-Cyrl-RS"/>
              </w:rPr>
              <w:t xml:space="preserve"> радника обезбеђења; </w:t>
            </w:r>
            <w:r w:rsidR="00C44CFE" w:rsidRPr="00574D1C">
              <w:rPr>
                <w:rFonts w:cstheme="minorHAnsi"/>
                <w:sz w:val="20"/>
                <w:szCs w:val="20"/>
                <w:lang w:val="sr-Cyrl-RS"/>
              </w:rPr>
              <w:t>управљање ризицима прилива радне снаге; и спречавање и реаговање на сексуално искоришћавање, злостављање и узнемиравање.</w:t>
            </w:r>
          </w:p>
          <w:p w14:paraId="376AF6FD" w14:textId="51382E09" w:rsidR="00A30A1C" w:rsidRPr="00574D1C" w:rsidRDefault="00A30A1C" w:rsidP="005D394E">
            <w:pPr>
              <w:keepLines/>
              <w:widowControl w:val="0"/>
              <w:rPr>
                <w:rFonts w:cstheme="minorHAnsi"/>
                <w:sz w:val="20"/>
                <w:szCs w:val="20"/>
                <w:lang w:val="sr-Cyrl-RS"/>
              </w:rPr>
            </w:pPr>
          </w:p>
        </w:tc>
      </w:tr>
      <w:tr w:rsidR="00345015" w:rsidRPr="00574D1C" w14:paraId="28B87920" w14:textId="77777777" w:rsidTr="007678F0">
        <w:trPr>
          <w:cantSplit/>
          <w:trHeight w:val="287"/>
        </w:trPr>
        <w:tc>
          <w:tcPr>
            <w:tcW w:w="14305" w:type="dxa"/>
            <w:gridSpan w:val="4"/>
            <w:shd w:val="clear" w:color="auto" w:fill="F4B083" w:themeFill="accent2" w:themeFillTint="99"/>
          </w:tcPr>
          <w:p w14:paraId="69457578" w14:textId="21EFE0E0" w:rsidR="00345015" w:rsidRPr="00574D1C" w:rsidRDefault="00345015" w:rsidP="005D394E">
            <w:pPr>
              <w:keepLines/>
              <w:widowControl w:val="0"/>
              <w:rPr>
                <w:rFonts w:cstheme="minorHAnsi"/>
                <w:sz w:val="20"/>
                <w:szCs w:val="20"/>
                <w:lang w:val="sr-Cyrl-RS"/>
              </w:rPr>
            </w:pPr>
            <w:r w:rsidRPr="00574D1C">
              <w:rPr>
                <w:rFonts w:cstheme="minorHAnsi"/>
                <w:b/>
                <w:sz w:val="20"/>
                <w:szCs w:val="20"/>
                <w:lang w:val="sr-Cyrl-RS"/>
              </w:rPr>
              <w:t xml:space="preserve">ESS 5: </w:t>
            </w:r>
            <w:r w:rsidR="00F001AB" w:rsidRPr="00574D1C">
              <w:rPr>
                <w:rFonts w:cstheme="minorHAnsi"/>
                <w:b/>
                <w:sz w:val="20"/>
                <w:szCs w:val="20"/>
                <w:lang w:val="sr-Cyrl-RS"/>
              </w:rPr>
              <w:t>КУПОВИНА ЗЕМЉИШТА, ОГРАНИЧЕЊА ЗА КОРИШЋЕЊЕ ЗЕМЉИШТА И ПРИНУДНО ПРЕСЕЉЕЊЕ</w:t>
            </w:r>
          </w:p>
        </w:tc>
      </w:tr>
      <w:tr w:rsidR="00CD503C" w:rsidRPr="00574D1C" w14:paraId="4EE55F52" w14:textId="77777777" w:rsidTr="00923D6A">
        <w:trPr>
          <w:cantSplit/>
          <w:trHeight w:val="20"/>
        </w:trPr>
        <w:tc>
          <w:tcPr>
            <w:tcW w:w="715" w:type="dxa"/>
          </w:tcPr>
          <w:p w14:paraId="21A290E5" w14:textId="77777777" w:rsidR="00CD503C" w:rsidRPr="00574D1C" w:rsidRDefault="00CD503C" w:rsidP="005D394E">
            <w:pPr>
              <w:keepLines/>
              <w:widowControl w:val="0"/>
              <w:rPr>
                <w:rFonts w:cstheme="minorHAnsi"/>
                <w:sz w:val="20"/>
                <w:szCs w:val="20"/>
                <w:lang w:val="sr-Cyrl-RS"/>
              </w:rPr>
            </w:pPr>
          </w:p>
        </w:tc>
        <w:tc>
          <w:tcPr>
            <w:tcW w:w="13590" w:type="dxa"/>
            <w:gridSpan w:val="3"/>
          </w:tcPr>
          <w:p w14:paraId="73DF0C3C" w14:textId="55BDC926" w:rsidR="00CD503C" w:rsidRPr="00574D1C" w:rsidRDefault="00143681" w:rsidP="00011319">
            <w:pPr>
              <w:rPr>
                <w:sz w:val="20"/>
                <w:szCs w:val="20"/>
                <w:lang w:val="sr-Cyrl-RS"/>
              </w:rPr>
            </w:pPr>
            <w:r w:rsidRPr="00574D1C">
              <w:rPr>
                <w:rFonts w:cstheme="minorHAnsi"/>
                <w:sz w:val="20"/>
                <w:szCs w:val="20"/>
                <w:lang w:val="sr-Cyrl-RS"/>
              </w:rPr>
              <w:t>Није релевантно</w:t>
            </w:r>
            <w:r w:rsidR="00077801" w:rsidRPr="00574D1C">
              <w:rPr>
                <w:sz w:val="20"/>
                <w:szCs w:val="20"/>
                <w:lang w:val="sr-Cyrl-RS"/>
              </w:rPr>
              <w:t>.</w:t>
            </w:r>
          </w:p>
        </w:tc>
      </w:tr>
      <w:tr w:rsidR="00345015" w:rsidRPr="00574D1C" w14:paraId="2366841A" w14:textId="77777777" w:rsidTr="00FE78B0">
        <w:trPr>
          <w:cantSplit/>
          <w:trHeight w:val="20"/>
        </w:trPr>
        <w:tc>
          <w:tcPr>
            <w:tcW w:w="14305" w:type="dxa"/>
            <w:gridSpan w:val="4"/>
            <w:shd w:val="clear" w:color="auto" w:fill="F4B083" w:themeFill="accent2" w:themeFillTint="99"/>
          </w:tcPr>
          <w:p w14:paraId="6DFD244D" w14:textId="4CB6D410" w:rsidR="00345015" w:rsidRPr="00574D1C" w:rsidRDefault="00345015" w:rsidP="005D394E">
            <w:pPr>
              <w:keepLines/>
              <w:widowControl w:val="0"/>
              <w:rPr>
                <w:rFonts w:cstheme="minorHAnsi"/>
                <w:sz w:val="20"/>
                <w:szCs w:val="20"/>
                <w:lang w:val="sr-Cyrl-RS"/>
              </w:rPr>
            </w:pPr>
            <w:r w:rsidRPr="00574D1C">
              <w:rPr>
                <w:rFonts w:cstheme="minorHAnsi"/>
                <w:b/>
                <w:sz w:val="20"/>
                <w:szCs w:val="20"/>
                <w:lang w:val="sr-Cyrl-RS"/>
              </w:rPr>
              <w:t xml:space="preserve">ESS 6: </w:t>
            </w:r>
            <w:r w:rsidR="00F001AB" w:rsidRPr="00574D1C">
              <w:rPr>
                <w:rFonts w:cstheme="minorHAnsi"/>
                <w:b/>
                <w:sz w:val="20"/>
                <w:szCs w:val="20"/>
                <w:lang w:val="sr-Cyrl-RS"/>
              </w:rPr>
              <w:t>ОЧУВАЊЕ БИОДИВЕРЗИТЕТА И ОДРЖИВО УПРАВЉАЊЕ БИОЛОШКИМ РЕСУРСИМА</w:t>
            </w:r>
          </w:p>
        </w:tc>
      </w:tr>
      <w:tr w:rsidR="00077801" w:rsidRPr="00574D1C" w14:paraId="0AB95499" w14:textId="77777777" w:rsidTr="00626225">
        <w:trPr>
          <w:cantSplit/>
          <w:trHeight w:val="20"/>
        </w:trPr>
        <w:tc>
          <w:tcPr>
            <w:tcW w:w="715" w:type="dxa"/>
          </w:tcPr>
          <w:p w14:paraId="2061DDCF" w14:textId="77777777" w:rsidR="00077801" w:rsidRPr="00574D1C" w:rsidRDefault="00077801" w:rsidP="00077801">
            <w:pPr>
              <w:keepLines/>
              <w:widowControl w:val="0"/>
              <w:jc w:val="center"/>
              <w:rPr>
                <w:rFonts w:cstheme="minorHAnsi"/>
                <w:sz w:val="20"/>
                <w:szCs w:val="20"/>
                <w:lang w:val="sr-Cyrl-RS"/>
              </w:rPr>
            </w:pPr>
          </w:p>
        </w:tc>
        <w:tc>
          <w:tcPr>
            <w:tcW w:w="13590" w:type="dxa"/>
            <w:gridSpan w:val="3"/>
          </w:tcPr>
          <w:p w14:paraId="6587183A" w14:textId="38123EC5" w:rsidR="006D615B" w:rsidRPr="00574D1C" w:rsidRDefault="005866FA" w:rsidP="00077801">
            <w:pPr>
              <w:keepLines/>
              <w:widowControl w:val="0"/>
              <w:rPr>
                <w:rFonts w:cstheme="minorHAnsi"/>
                <w:sz w:val="20"/>
                <w:szCs w:val="20"/>
                <w:lang w:val="sr-Cyrl-RS"/>
              </w:rPr>
            </w:pPr>
            <w:r>
              <w:rPr>
                <w:rFonts w:cstheme="minorHAnsi"/>
                <w:sz w:val="20"/>
                <w:szCs w:val="20"/>
                <w:lang w:val="sr-Cyrl-RS"/>
              </w:rPr>
              <w:t>Није релевантно.</w:t>
            </w:r>
          </w:p>
        </w:tc>
      </w:tr>
      <w:tr w:rsidR="00077801" w:rsidRPr="00574D1C" w14:paraId="3D1828EE" w14:textId="77777777" w:rsidTr="00FE78B0">
        <w:trPr>
          <w:cantSplit/>
          <w:trHeight w:val="20"/>
        </w:trPr>
        <w:tc>
          <w:tcPr>
            <w:tcW w:w="14305" w:type="dxa"/>
            <w:gridSpan w:val="4"/>
            <w:shd w:val="clear" w:color="auto" w:fill="F4B083" w:themeFill="accent2" w:themeFillTint="99"/>
          </w:tcPr>
          <w:p w14:paraId="31665002" w14:textId="338EF2D7" w:rsidR="00077801" w:rsidRPr="00574D1C" w:rsidRDefault="00077801" w:rsidP="00077801">
            <w:pPr>
              <w:keepLines/>
              <w:widowControl w:val="0"/>
              <w:rPr>
                <w:rFonts w:cstheme="minorHAnsi"/>
                <w:sz w:val="20"/>
                <w:szCs w:val="20"/>
                <w:lang w:val="sr-Cyrl-RS"/>
              </w:rPr>
            </w:pPr>
            <w:r w:rsidRPr="00574D1C">
              <w:rPr>
                <w:rFonts w:cstheme="minorHAnsi"/>
                <w:b/>
                <w:sz w:val="20"/>
                <w:szCs w:val="20"/>
                <w:lang w:val="sr-Cyrl-RS"/>
              </w:rPr>
              <w:t xml:space="preserve">ESS 7: </w:t>
            </w:r>
            <w:r w:rsidR="00896A71" w:rsidRPr="00574D1C">
              <w:rPr>
                <w:rFonts w:cstheme="minorHAnsi"/>
                <w:b/>
                <w:sz w:val="20"/>
                <w:szCs w:val="20"/>
                <w:lang w:val="sr-Cyrl-RS"/>
              </w:rPr>
              <w:t>ДОМОРОДАЧКИ НАРОДИ / ТРАД</w:t>
            </w:r>
            <w:r w:rsidR="007572E9">
              <w:rPr>
                <w:rFonts w:cstheme="minorHAnsi"/>
                <w:b/>
                <w:sz w:val="20"/>
                <w:szCs w:val="20"/>
                <w:lang w:val="sr-Cyrl-RS"/>
              </w:rPr>
              <w:t>И</w:t>
            </w:r>
            <w:r w:rsidR="00896A71" w:rsidRPr="00574D1C">
              <w:rPr>
                <w:rFonts w:cstheme="minorHAnsi"/>
                <w:b/>
                <w:sz w:val="20"/>
                <w:szCs w:val="20"/>
                <w:lang w:val="sr-Cyrl-RS"/>
              </w:rPr>
              <w:t>ЦИОНАЛНЕ ЛОКАЛНЕ ЗАЈЕДНИЦЕ ИЗ ПОТСАХАРСКЕ АФРИКЕ КОЈЕ ИСТОРИЈСКИ НЕМАЈУ АДЕКВАТАН ПРИСТУП УСЛУГАМА</w:t>
            </w:r>
          </w:p>
        </w:tc>
      </w:tr>
      <w:tr w:rsidR="00077801" w:rsidRPr="00574D1C" w14:paraId="23B36446" w14:textId="77777777" w:rsidTr="004D4040">
        <w:trPr>
          <w:cantSplit/>
          <w:trHeight w:val="336"/>
        </w:trPr>
        <w:tc>
          <w:tcPr>
            <w:tcW w:w="715" w:type="dxa"/>
          </w:tcPr>
          <w:p w14:paraId="182BBB36" w14:textId="77777777" w:rsidR="00077801" w:rsidRPr="00574D1C" w:rsidRDefault="00077801" w:rsidP="00077801">
            <w:pPr>
              <w:keepLines/>
              <w:widowControl w:val="0"/>
              <w:rPr>
                <w:rFonts w:cstheme="minorHAnsi"/>
                <w:sz w:val="20"/>
                <w:szCs w:val="20"/>
                <w:lang w:val="sr-Cyrl-RS"/>
              </w:rPr>
            </w:pPr>
          </w:p>
        </w:tc>
        <w:tc>
          <w:tcPr>
            <w:tcW w:w="13590" w:type="dxa"/>
            <w:gridSpan w:val="3"/>
          </w:tcPr>
          <w:p w14:paraId="3B5414EC" w14:textId="1F666FA3" w:rsidR="00077801" w:rsidRPr="00574D1C" w:rsidRDefault="00B55E0A" w:rsidP="00077801">
            <w:pPr>
              <w:keepLines/>
              <w:widowControl w:val="0"/>
              <w:rPr>
                <w:rFonts w:cstheme="minorHAnsi"/>
                <w:sz w:val="20"/>
                <w:szCs w:val="20"/>
                <w:lang w:val="sr-Cyrl-RS"/>
              </w:rPr>
            </w:pPr>
            <w:r w:rsidRPr="00574D1C">
              <w:rPr>
                <w:rFonts w:cstheme="minorHAnsi"/>
                <w:sz w:val="20"/>
                <w:szCs w:val="20"/>
                <w:lang w:val="sr-Cyrl-RS"/>
              </w:rPr>
              <w:t>Није релевантно</w:t>
            </w:r>
            <w:r w:rsidR="00077801" w:rsidRPr="00574D1C">
              <w:rPr>
                <w:rFonts w:cstheme="minorHAnsi"/>
                <w:sz w:val="20"/>
                <w:szCs w:val="20"/>
                <w:lang w:val="sr-Cyrl-RS"/>
              </w:rPr>
              <w:t>.</w:t>
            </w:r>
          </w:p>
        </w:tc>
      </w:tr>
      <w:tr w:rsidR="00077801" w:rsidRPr="00574D1C" w14:paraId="15F6E824" w14:textId="77777777" w:rsidTr="00FE78B0">
        <w:trPr>
          <w:cantSplit/>
          <w:trHeight w:val="20"/>
        </w:trPr>
        <w:tc>
          <w:tcPr>
            <w:tcW w:w="14305" w:type="dxa"/>
            <w:gridSpan w:val="4"/>
            <w:shd w:val="clear" w:color="auto" w:fill="F4B083" w:themeFill="accent2" w:themeFillTint="99"/>
          </w:tcPr>
          <w:p w14:paraId="730EB306" w14:textId="0A4FF757" w:rsidR="00077801" w:rsidRPr="00574D1C" w:rsidRDefault="00077801" w:rsidP="00077801">
            <w:pPr>
              <w:keepLines/>
              <w:widowControl w:val="0"/>
              <w:rPr>
                <w:rFonts w:cstheme="minorHAnsi"/>
                <w:sz w:val="20"/>
                <w:szCs w:val="20"/>
                <w:lang w:val="sr-Cyrl-RS"/>
              </w:rPr>
            </w:pPr>
            <w:r w:rsidRPr="00574D1C">
              <w:rPr>
                <w:rFonts w:cstheme="minorHAnsi"/>
                <w:b/>
                <w:sz w:val="20"/>
                <w:szCs w:val="20"/>
                <w:lang w:val="sr-Cyrl-RS"/>
              </w:rPr>
              <w:t xml:space="preserve">ESS 8: </w:t>
            </w:r>
            <w:r w:rsidR="00B55E0A" w:rsidRPr="00574D1C">
              <w:rPr>
                <w:rFonts w:cstheme="minorHAnsi"/>
                <w:b/>
                <w:sz w:val="20"/>
                <w:szCs w:val="20"/>
                <w:lang w:val="sr-Cyrl-RS"/>
              </w:rPr>
              <w:t>КУЛТУРНО НАСЛЕЂЕ</w:t>
            </w:r>
          </w:p>
        </w:tc>
      </w:tr>
      <w:tr w:rsidR="00077801" w:rsidRPr="00574D1C" w14:paraId="48481B47" w14:textId="77777777" w:rsidTr="00626225">
        <w:trPr>
          <w:cantSplit/>
          <w:trHeight w:val="20"/>
        </w:trPr>
        <w:tc>
          <w:tcPr>
            <w:tcW w:w="715" w:type="dxa"/>
          </w:tcPr>
          <w:p w14:paraId="46CCAD08" w14:textId="77777777" w:rsidR="00077801" w:rsidRPr="00574D1C" w:rsidRDefault="00077801" w:rsidP="00077801">
            <w:pPr>
              <w:keepLines/>
              <w:widowControl w:val="0"/>
              <w:jc w:val="center"/>
              <w:rPr>
                <w:rFonts w:cstheme="minorHAnsi"/>
                <w:sz w:val="20"/>
                <w:szCs w:val="20"/>
                <w:lang w:val="sr-Cyrl-RS"/>
              </w:rPr>
            </w:pPr>
          </w:p>
        </w:tc>
        <w:tc>
          <w:tcPr>
            <w:tcW w:w="13590" w:type="dxa"/>
            <w:gridSpan w:val="3"/>
          </w:tcPr>
          <w:p w14:paraId="3516D723" w14:textId="6330C24B" w:rsidR="00077801" w:rsidRPr="00574D1C" w:rsidRDefault="00B55E0A" w:rsidP="00077801">
            <w:pPr>
              <w:keepLines/>
              <w:widowControl w:val="0"/>
              <w:rPr>
                <w:rFonts w:cstheme="minorHAnsi"/>
                <w:sz w:val="20"/>
                <w:szCs w:val="20"/>
                <w:lang w:val="sr-Cyrl-RS"/>
              </w:rPr>
            </w:pPr>
            <w:r w:rsidRPr="00574D1C">
              <w:rPr>
                <w:rFonts w:cstheme="minorHAnsi"/>
                <w:sz w:val="20"/>
                <w:szCs w:val="20"/>
                <w:lang w:val="sr-Cyrl-RS"/>
              </w:rPr>
              <w:t>Тренутно се не сматра релевантним</w:t>
            </w:r>
            <w:r w:rsidR="00077801" w:rsidRPr="00574D1C">
              <w:rPr>
                <w:rFonts w:cstheme="minorHAnsi"/>
                <w:sz w:val="20"/>
                <w:szCs w:val="20"/>
                <w:lang w:val="sr-Cyrl-RS"/>
              </w:rPr>
              <w:t>.</w:t>
            </w:r>
          </w:p>
        </w:tc>
      </w:tr>
      <w:tr w:rsidR="00077801" w:rsidRPr="00574D1C" w14:paraId="452749C7" w14:textId="77777777" w:rsidTr="00FE78B0">
        <w:trPr>
          <w:cantSplit/>
          <w:trHeight w:val="20"/>
        </w:trPr>
        <w:tc>
          <w:tcPr>
            <w:tcW w:w="14305" w:type="dxa"/>
            <w:gridSpan w:val="4"/>
            <w:shd w:val="clear" w:color="auto" w:fill="F4B083" w:themeFill="accent2" w:themeFillTint="99"/>
          </w:tcPr>
          <w:p w14:paraId="5533F412" w14:textId="65424EFB" w:rsidR="00077801" w:rsidRPr="00574D1C" w:rsidRDefault="00077801" w:rsidP="00077801">
            <w:pPr>
              <w:keepLines/>
              <w:widowControl w:val="0"/>
              <w:rPr>
                <w:rFonts w:cstheme="minorHAnsi"/>
                <w:sz w:val="20"/>
                <w:szCs w:val="20"/>
                <w:lang w:val="sr-Cyrl-RS"/>
              </w:rPr>
            </w:pPr>
            <w:r w:rsidRPr="00574D1C">
              <w:rPr>
                <w:rFonts w:cstheme="minorHAnsi"/>
                <w:b/>
                <w:sz w:val="20"/>
                <w:szCs w:val="20"/>
                <w:lang w:val="sr-Cyrl-RS"/>
              </w:rPr>
              <w:t xml:space="preserve">ESS 9: </w:t>
            </w:r>
            <w:r w:rsidR="00B55E0A" w:rsidRPr="00574D1C">
              <w:rPr>
                <w:rFonts w:cstheme="minorHAnsi"/>
                <w:b/>
                <w:sz w:val="20"/>
                <w:szCs w:val="20"/>
                <w:lang w:val="sr-Cyrl-RS"/>
              </w:rPr>
              <w:t>ФИНАНСИЈСКИ ПОСРЕДНИЦИ</w:t>
            </w:r>
          </w:p>
        </w:tc>
      </w:tr>
      <w:tr w:rsidR="00077801" w:rsidRPr="00574D1C" w14:paraId="0C839418" w14:textId="77777777" w:rsidTr="00626225">
        <w:trPr>
          <w:cantSplit/>
          <w:trHeight w:val="20"/>
        </w:trPr>
        <w:tc>
          <w:tcPr>
            <w:tcW w:w="715" w:type="dxa"/>
          </w:tcPr>
          <w:p w14:paraId="17BE2A3C" w14:textId="77777777" w:rsidR="00077801" w:rsidRPr="00574D1C" w:rsidRDefault="00077801" w:rsidP="00077801">
            <w:pPr>
              <w:keepLines/>
              <w:widowControl w:val="0"/>
              <w:jc w:val="center"/>
              <w:rPr>
                <w:rFonts w:cstheme="minorHAnsi"/>
                <w:sz w:val="20"/>
                <w:szCs w:val="20"/>
                <w:lang w:val="sr-Cyrl-RS"/>
              </w:rPr>
            </w:pPr>
          </w:p>
        </w:tc>
        <w:tc>
          <w:tcPr>
            <w:tcW w:w="13590" w:type="dxa"/>
            <w:gridSpan w:val="3"/>
          </w:tcPr>
          <w:p w14:paraId="19731BF3" w14:textId="7C45D45D" w:rsidR="00077801" w:rsidRPr="00574D1C" w:rsidRDefault="00B55E0A" w:rsidP="00077801">
            <w:pPr>
              <w:keepLines/>
              <w:widowControl w:val="0"/>
              <w:rPr>
                <w:rFonts w:cstheme="minorHAnsi"/>
                <w:sz w:val="20"/>
                <w:szCs w:val="20"/>
                <w:lang w:val="sr-Cyrl-RS"/>
              </w:rPr>
            </w:pPr>
            <w:r w:rsidRPr="00574D1C">
              <w:rPr>
                <w:rFonts w:cstheme="minorHAnsi"/>
                <w:sz w:val="20"/>
                <w:szCs w:val="20"/>
                <w:lang w:val="sr-Cyrl-RS"/>
              </w:rPr>
              <w:t>Није релевантно</w:t>
            </w:r>
            <w:r w:rsidR="00077801" w:rsidRPr="00574D1C">
              <w:rPr>
                <w:rFonts w:cstheme="minorHAnsi"/>
                <w:sz w:val="20"/>
                <w:szCs w:val="20"/>
                <w:lang w:val="sr-Cyrl-RS"/>
              </w:rPr>
              <w:t>.</w:t>
            </w:r>
          </w:p>
          <w:p w14:paraId="756706FA" w14:textId="59E7C9AF" w:rsidR="00077801" w:rsidRPr="00574D1C" w:rsidRDefault="00077801" w:rsidP="00077801">
            <w:pPr>
              <w:keepLines/>
              <w:widowControl w:val="0"/>
              <w:rPr>
                <w:rFonts w:cstheme="minorHAnsi"/>
                <w:sz w:val="20"/>
                <w:szCs w:val="20"/>
                <w:lang w:val="sr-Cyrl-RS"/>
              </w:rPr>
            </w:pPr>
          </w:p>
        </w:tc>
      </w:tr>
      <w:tr w:rsidR="00077801" w:rsidRPr="00574D1C" w14:paraId="6CD9EA12" w14:textId="77777777" w:rsidTr="00FE78B0">
        <w:trPr>
          <w:cantSplit/>
          <w:trHeight w:val="20"/>
        </w:trPr>
        <w:tc>
          <w:tcPr>
            <w:tcW w:w="14305" w:type="dxa"/>
            <w:gridSpan w:val="4"/>
            <w:shd w:val="clear" w:color="auto" w:fill="F4B083" w:themeFill="accent2" w:themeFillTint="99"/>
          </w:tcPr>
          <w:p w14:paraId="2C41A168" w14:textId="5B783D1B" w:rsidR="00077801" w:rsidRPr="00574D1C" w:rsidRDefault="00077801" w:rsidP="00077801">
            <w:pPr>
              <w:keepLines/>
              <w:widowControl w:val="0"/>
              <w:rPr>
                <w:rFonts w:cstheme="minorHAnsi"/>
                <w:sz w:val="20"/>
                <w:szCs w:val="20"/>
                <w:lang w:val="sr-Cyrl-RS"/>
              </w:rPr>
            </w:pPr>
            <w:r w:rsidRPr="00574D1C">
              <w:rPr>
                <w:rFonts w:cstheme="minorHAnsi"/>
                <w:b/>
                <w:sz w:val="20"/>
                <w:szCs w:val="20"/>
                <w:lang w:val="sr-Cyrl-RS"/>
              </w:rPr>
              <w:t xml:space="preserve">ESS 10: </w:t>
            </w:r>
            <w:r w:rsidR="00F001AB" w:rsidRPr="00574D1C">
              <w:rPr>
                <w:rFonts w:cstheme="minorHAnsi"/>
                <w:b/>
                <w:sz w:val="20"/>
                <w:szCs w:val="20"/>
                <w:lang w:val="sr-Cyrl-RS"/>
              </w:rPr>
              <w:t>АНГАЖМАН СА АКТЕРИМА И ОБЈАВЉИВАЊЕ ИНФОРМАЦИЈА</w:t>
            </w:r>
          </w:p>
        </w:tc>
      </w:tr>
      <w:tr w:rsidR="00A30A1C" w:rsidRPr="00574D1C" w14:paraId="2BEB60BC" w14:textId="77777777" w:rsidTr="00FE78B0">
        <w:trPr>
          <w:cantSplit/>
          <w:trHeight w:val="20"/>
        </w:trPr>
        <w:tc>
          <w:tcPr>
            <w:tcW w:w="715" w:type="dxa"/>
          </w:tcPr>
          <w:p w14:paraId="74F0968F" w14:textId="6A3C15CA" w:rsidR="00A30A1C" w:rsidRPr="00574D1C" w:rsidRDefault="00A30A1C" w:rsidP="00A30A1C">
            <w:pPr>
              <w:keepLines/>
              <w:widowControl w:val="0"/>
              <w:rPr>
                <w:rFonts w:cstheme="minorHAnsi"/>
                <w:sz w:val="20"/>
                <w:szCs w:val="20"/>
                <w:lang w:val="sr-Cyrl-RS"/>
              </w:rPr>
            </w:pPr>
            <w:r w:rsidRPr="00574D1C">
              <w:rPr>
                <w:rFonts w:cstheme="minorHAnsi"/>
                <w:sz w:val="20"/>
                <w:szCs w:val="20"/>
                <w:lang w:val="sr-Cyrl-RS"/>
              </w:rPr>
              <w:t>10.1</w:t>
            </w:r>
          </w:p>
        </w:tc>
        <w:tc>
          <w:tcPr>
            <w:tcW w:w="6120" w:type="dxa"/>
          </w:tcPr>
          <w:p w14:paraId="4CCCEB78" w14:textId="10A8EC76" w:rsidR="00A30A1C" w:rsidRPr="00574D1C" w:rsidRDefault="00896A71" w:rsidP="00A30A1C">
            <w:pPr>
              <w:rPr>
                <w:sz w:val="20"/>
                <w:szCs w:val="20"/>
                <w:lang w:val="sr-Cyrl-RS"/>
              </w:rPr>
            </w:pPr>
            <w:r w:rsidRPr="00574D1C">
              <w:rPr>
                <w:rFonts w:cstheme="minorHAnsi"/>
                <w:b/>
                <w:color w:val="4472C4" w:themeColor="accent1"/>
                <w:sz w:val="20"/>
                <w:szCs w:val="20"/>
                <w:lang w:val="sr-Cyrl-RS"/>
              </w:rPr>
              <w:t>ПЛАН АНГАЖМАНА СА АКТЕРИМА</w:t>
            </w:r>
            <w:r w:rsidR="00A30A1C" w:rsidRPr="00574D1C">
              <w:rPr>
                <w:rFonts w:cstheme="minorHAnsi"/>
                <w:b/>
                <w:color w:val="4472C4" w:themeColor="accent1"/>
                <w:sz w:val="20"/>
                <w:szCs w:val="20"/>
                <w:lang w:val="sr-Cyrl-RS"/>
              </w:rPr>
              <w:t xml:space="preserve">: </w:t>
            </w:r>
            <w:r w:rsidR="00EC27EF" w:rsidRPr="00574D1C">
              <w:rPr>
                <w:sz w:val="20"/>
                <w:szCs w:val="20"/>
                <w:lang w:val="sr-Cyrl-RS"/>
              </w:rPr>
              <w:t>Ажурирање, објављивање, усвајање и спровођење Плана ангажмана са актерима (СЕП) усклађеног са стандардом ESS10 и на начин који Банка сматра прихватљивим.</w:t>
            </w:r>
          </w:p>
        </w:tc>
        <w:tc>
          <w:tcPr>
            <w:tcW w:w="3780" w:type="dxa"/>
          </w:tcPr>
          <w:p w14:paraId="6C722B24" w14:textId="2EFECD94" w:rsidR="00A30A1C" w:rsidRPr="00574D1C" w:rsidRDefault="00EC27EF" w:rsidP="00896A71">
            <w:pPr>
              <w:keepLines/>
              <w:widowControl w:val="0"/>
              <w:rPr>
                <w:rFonts w:cstheme="minorHAnsi"/>
                <w:sz w:val="20"/>
                <w:szCs w:val="20"/>
                <w:lang w:val="sr-Cyrl-RS"/>
              </w:rPr>
            </w:pPr>
            <w:r w:rsidRPr="00574D1C">
              <w:rPr>
                <w:sz w:val="20"/>
                <w:szCs w:val="20"/>
                <w:lang w:val="sr-Cyrl-RS"/>
              </w:rPr>
              <w:t xml:space="preserve">СЕП ће бити ажуриран и поновно објављен </w:t>
            </w:r>
            <w:r w:rsidR="008A6ABF">
              <w:rPr>
                <w:sz w:val="20"/>
                <w:szCs w:val="20"/>
                <w:lang w:val="sr-Cyrl-RS"/>
              </w:rPr>
              <w:t>приближно</w:t>
            </w:r>
            <w:r w:rsidRPr="00574D1C">
              <w:rPr>
                <w:sz w:val="20"/>
                <w:szCs w:val="20"/>
                <w:lang w:val="sr-Cyrl-RS"/>
              </w:rPr>
              <w:t xml:space="preserve"> месец дана од дана почетка спровођења Пројекта. СЕП ће затим у континуитету бити ажуриран током реализације Пројекта.</w:t>
            </w:r>
          </w:p>
        </w:tc>
        <w:tc>
          <w:tcPr>
            <w:tcW w:w="3690" w:type="dxa"/>
          </w:tcPr>
          <w:p w14:paraId="72EDE808" w14:textId="4020DDEF" w:rsidR="00A30A1C" w:rsidRPr="00574D1C" w:rsidRDefault="00B55E0A" w:rsidP="00A30A1C">
            <w:pPr>
              <w:keepLines/>
              <w:widowControl w:val="0"/>
              <w:rPr>
                <w:rFonts w:cstheme="minorHAnsi"/>
                <w:iCs/>
                <w:sz w:val="20"/>
                <w:szCs w:val="20"/>
                <w:lang w:val="sr-Cyrl-RS"/>
              </w:rPr>
            </w:pPr>
            <w:r w:rsidRPr="00574D1C">
              <w:rPr>
                <w:rFonts w:cstheme="minorHAnsi"/>
                <w:iCs/>
                <w:sz w:val="20"/>
                <w:szCs w:val="20"/>
                <w:lang w:val="sr-Cyrl-RS"/>
              </w:rPr>
              <w:t>ЈКП МЗ</w:t>
            </w:r>
          </w:p>
        </w:tc>
      </w:tr>
      <w:tr w:rsidR="00077801" w:rsidRPr="00574D1C" w14:paraId="11EDC253" w14:textId="77777777" w:rsidTr="00FE78B0">
        <w:trPr>
          <w:cantSplit/>
          <w:trHeight w:val="20"/>
        </w:trPr>
        <w:tc>
          <w:tcPr>
            <w:tcW w:w="715" w:type="dxa"/>
          </w:tcPr>
          <w:p w14:paraId="1EABE059" w14:textId="2F433288" w:rsidR="00077801" w:rsidRPr="00574D1C" w:rsidRDefault="00077801" w:rsidP="00077801">
            <w:pPr>
              <w:keepLines/>
              <w:widowControl w:val="0"/>
              <w:rPr>
                <w:rFonts w:cstheme="minorHAnsi"/>
                <w:sz w:val="20"/>
                <w:szCs w:val="20"/>
                <w:lang w:val="sr-Cyrl-RS"/>
              </w:rPr>
            </w:pPr>
            <w:r w:rsidRPr="00574D1C">
              <w:rPr>
                <w:rFonts w:cstheme="minorHAnsi"/>
                <w:sz w:val="20"/>
                <w:szCs w:val="20"/>
                <w:lang w:val="sr-Cyrl-RS"/>
              </w:rPr>
              <w:t>10.2</w:t>
            </w:r>
          </w:p>
        </w:tc>
        <w:tc>
          <w:tcPr>
            <w:tcW w:w="6120" w:type="dxa"/>
          </w:tcPr>
          <w:p w14:paraId="42CA74BF" w14:textId="517FA026" w:rsidR="00077801" w:rsidRPr="00574D1C" w:rsidRDefault="00EC27EF" w:rsidP="005D6C02">
            <w:pPr>
              <w:keepLines/>
              <w:widowControl w:val="0"/>
              <w:rPr>
                <w:rFonts w:cstheme="minorHAnsi"/>
                <w:sz w:val="20"/>
                <w:szCs w:val="20"/>
                <w:lang w:val="sr-Cyrl-RS"/>
              </w:rPr>
            </w:pPr>
            <w:r w:rsidRPr="00574D1C">
              <w:rPr>
                <w:b/>
                <w:color w:val="4472C4" w:themeColor="accent1"/>
                <w:sz w:val="20"/>
                <w:szCs w:val="20"/>
                <w:lang w:val="sr-Cyrl-RS"/>
              </w:rPr>
              <w:t>МЕХАНИЗАМ ЗА РЕШАВАЊЕ ПРИТУЖБИ</w:t>
            </w:r>
            <w:r w:rsidR="00077801" w:rsidRPr="00574D1C">
              <w:rPr>
                <w:b/>
                <w:color w:val="4472C4" w:themeColor="accent1"/>
                <w:sz w:val="20"/>
                <w:szCs w:val="20"/>
                <w:lang w:val="sr-Cyrl-RS"/>
              </w:rPr>
              <w:t>:</w:t>
            </w:r>
            <w:r w:rsidR="00077801" w:rsidRPr="00574D1C">
              <w:rPr>
                <w:sz w:val="20"/>
                <w:szCs w:val="20"/>
                <w:lang w:val="sr-Cyrl-RS"/>
              </w:rPr>
              <w:t xml:space="preserve"> </w:t>
            </w:r>
            <w:r w:rsidRPr="00574D1C">
              <w:rPr>
                <w:sz w:val="20"/>
                <w:szCs w:val="20"/>
                <w:lang w:val="sr-Cyrl-RS"/>
              </w:rPr>
              <w:t>Биће успостављен и стављен на располагање приступачан механизам за решавање притужби, на начин дефинисан СЕП-ом, у циљу пријема и омогућавања решавања бојазни и притужби везаних за Пројекат, у складу са стандардом ESS10 и на начин који Банка сматра прихватљивим.</w:t>
            </w:r>
          </w:p>
        </w:tc>
        <w:tc>
          <w:tcPr>
            <w:tcW w:w="3780" w:type="dxa"/>
          </w:tcPr>
          <w:p w14:paraId="6661DCD9" w14:textId="2074EA4D" w:rsidR="00EC27EF" w:rsidRPr="00574D1C" w:rsidRDefault="00EA45BA" w:rsidP="00EA45BA">
            <w:pPr>
              <w:keepLines/>
              <w:widowControl w:val="0"/>
              <w:rPr>
                <w:sz w:val="20"/>
                <w:szCs w:val="20"/>
                <w:lang w:val="sr-Cyrl-RS"/>
              </w:rPr>
            </w:pPr>
            <w:r>
              <w:rPr>
                <w:sz w:val="20"/>
                <w:szCs w:val="20"/>
                <w:lang w:val="sr-Cyrl-RS"/>
              </w:rPr>
              <w:t xml:space="preserve">Механизам за решавање притужби биће успостављен приближно </w:t>
            </w:r>
            <w:r w:rsidR="00EC27EF" w:rsidRPr="00574D1C">
              <w:rPr>
                <w:sz w:val="20"/>
                <w:szCs w:val="20"/>
                <w:lang w:val="sr-Cyrl-RS"/>
              </w:rPr>
              <w:t>месец дана од дана почетка спровођења Пројекта</w:t>
            </w:r>
            <w:r w:rsidR="00D2513B">
              <w:rPr>
                <w:sz w:val="20"/>
                <w:szCs w:val="20"/>
                <w:lang w:val="sr-Cyrl-RS"/>
              </w:rPr>
              <w:t xml:space="preserve"> и остаће у функцији током читавог периода спровођења Пројекта.</w:t>
            </w:r>
          </w:p>
          <w:p w14:paraId="7D16B74F" w14:textId="77777777" w:rsidR="00EC27EF" w:rsidRPr="00574D1C" w:rsidRDefault="00EC27EF" w:rsidP="00077801">
            <w:pPr>
              <w:keepLines/>
              <w:widowControl w:val="0"/>
              <w:rPr>
                <w:sz w:val="20"/>
                <w:szCs w:val="20"/>
                <w:lang w:val="sr-Cyrl-RS"/>
              </w:rPr>
            </w:pPr>
          </w:p>
          <w:p w14:paraId="6BEDA8FD" w14:textId="6B834383" w:rsidR="00077801" w:rsidRPr="00574D1C" w:rsidRDefault="00EC27EF" w:rsidP="00077801">
            <w:pPr>
              <w:keepLines/>
              <w:widowControl w:val="0"/>
              <w:rPr>
                <w:rFonts w:cstheme="minorHAnsi"/>
                <w:sz w:val="20"/>
                <w:szCs w:val="20"/>
                <w:lang w:val="sr-Cyrl-RS"/>
              </w:rPr>
            </w:pPr>
            <w:r w:rsidRPr="00574D1C">
              <w:rPr>
                <w:sz w:val="20"/>
                <w:szCs w:val="20"/>
                <w:lang w:val="sr-Cyrl-RS"/>
              </w:rPr>
              <w:t>Током реализације Пројекта.</w:t>
            </w:r>
          </w:p>
        </w:tc>
        <w:tc>
          <w:tcPr>
            <w:tcW w:w="3690" w:type="dxa"/>
          </w:tcPr>
          <w:p w14:paraId="1778D771" w14:textId="3226B38A" w:rsidR="00077801" w:rsidRPr="00574D1C" w:rsidRDefault="00B55E0A" w:rsidP="00077801">
            <w:pPr>
              <w:keepLines/>
              <w:widowControl w:val="0"/>
              <w:rPr>
                <w:rFonts w:cstheme="minorHAnsi"/>
                <w:sz w:val="20"/>
                <w:szCs w:val="20"/>
                <w:lang w:val="sr-Cyrl-RS"/>
              </w:rPr>
            </w:pPr>
            <w:r w:rsidRPr="00574D1C">
              <w:rPr>
                <w:rFonts w:cstheme="minorHAnsi"/>
                <w:iCs/>
                <w:sz w:val="20"/>
                <w:szCs w:val="20"/>
                <w:lang w:val="sr-Cyrl-RS"/>
              </w:rPr>
              <w:t>ЈКП МЗ</w:t>
            </w:r>
            <w:r w:rsidRPr="00574D1C">
              <w:rPr>
                <w:rFonts w:cstheme="minorHAnsi"/>
                <w:sz w:val="20"/>
                <w:szCs w:val="20"/>
                <w:lang w:val="sr-Cyrl-RS"/>
              </w:rPr>
              <w:t xml:space="preserve"> </w:t>
            </w:r>
          </w:p>
        </w:tc>
      </w:tr>
      <w:tr w:rsidR="00077801" w:rsidRPr="00574D1C" w14:paraId="5337154F" w14:textId="77777777" w:rsidTr="00FE78B0">
        <w:trPr>
          <w:cantSplit/>
          <w:trHeight w:val="20"/>
        </w:trPr>
        <w:tc>
          <w:tcPr>
            <w:tcW w:w="14305" w:type="dxa"/>
            <w:gridSpan w:val="4"/>
            <w:shd w:val="clear" w:color="auto" w:fill="F4B083" w:themeFill="accent2" w:themeFillTint="99"/>
          </w:tcPr>
          <w:p w14:paraId="55630802" w14:textId="4CAB8CF5" w:rsidR="00077801" w:rsidRPr="00574D1C" w:rsidRDefault="00F001AB" w:rsidP="00077801">
            <w:pPr>
              <w:keepLines/>
              <w:widowControl w:val="0"/>
              <w:rPr>
                <w:rFonts w:cstheme="minorHAnsi"/>
                <w:sz w:val="20"/>
                <w:szCs w:val="20"/>
                <w:lang w:val="sr-Cyrl-RS"/>
              </w:rPr>
            </w:pPr>
            <w:r w:rsidRPr="00574D1C">
              <w:rPr>
                <w:rFonts w:cstheme="minorHAnsi"/>
                <w:b/>
                <w:sz w:val="20"/>
                <w:szCs w:val="20"/>
                <w:lang w:val="sr-Cyrl-RS"/>
              </w:rPr>
              <w:t>ПОДРШКА ЗА ИЗГРАДЊУ КАПАЦИТЕТА</w:t>
            </w:r>
            <w:r w:rsidR="00077801" w:rsidRPr="00574D1C">
              <w:rPr>
                <w:rFonts w:cstheme="minorHAnsi"/>
                <w:b/>
                <w:sz w:val="20"/>
                <w:szCs w:val="20"/>
                <w:lang w:val="sr-Cyrl-RS"/>
              </w:rPr>
              <w:t xml:space="preserve"> (</w:t>
            </w:r>
            <w:r w:rsidRPr="00574D1C">
              <w:rPr>
                <w:rFonts w:cstheme="minorHAnsi"/>
                <w:b/>
                <w:sz w:val="20"/>
                <w:szCs w:val="20"/>
                <w:lang w:val="sr-Cyrl-RS"/>
              </w:rPr>
              <w:t>ОБУКА</w:t>
            </w:r>
            <w:r w:rsidR="00077801" w:rsidRPr="00574D1C">
              <w:rPr>
                <w:rFonts w:cstheme="minorHAnsi"/>
                <w:b/>
                <w:sz w:val="20"/>
                <w:szCs w:val="20"/>
                <w:lang w:val="sr-Cyrl-RS"/>
              </w:rPr>
              <w:t>)</w:t>
            </w:r>
          </w:p>
        </w:tc>
      </w:tr>
      <w:tr w:rsidR="00077801" w:rsidRPr="00574D1C" w14:paraId="4489A88A" w14:textId="77777777" w:rsidTr="00FE78B0">
        <w:trPr>
          <w:cantSplit/>
          <w:trHeight w:val="20"/>
        </w:trPr>
        <w:tc>
          <w:tcPr>
            <w:tcW w:w="715" w:type="dxa"/>
          </w:tcPr>
          <w:p w14:paraId="04FAEB20" w14:textId="11E6048B" w:rsidR="00077801" w:rsidRPr="00574D1C" w:rsidRDefault="00020567" w:rsidP="00077801">
            <w:pPr>
              <w:keepLines/>
              <w:widowControl w:val="0"/>
              <w:rPr>
                <w:rFonts w:cstheme="minorHAnsi"/>
                <w:sz w:val="20"/>
                <w:szCs w:val="20"/>
                <w:lang w:val="sr-Cyrl-RS"/>
              </w:rPr>
            </w:pPr>
            <w:r w:rsidRPr="00574D1C">
              <w:rPr>
                <w:rFonts w:cstheme="minorHAnsi"/>
                <w:sz w:val="20"/>
                <w:szCs w:val="20"/>
                <w:lang w:val="sr-Cyrl-RS"/>
              </w:rPr>
              <w:lastRenderedPageBreak/>
              <w:t>12.</w:t>
            </w:r>
          </w:p>
        </w:tc>
        <w:tc>
          <w:tcPr>
            <w:tcW w:w="6120" w:type="dxa"/>
          </w:tcPr>
          <w:p w14:paraId="4B194DDD" w14:textId="407E5257" w:rsidR="008F5252" w:rsidRPr="00574D1C" w:rsidRDefault="008F5252" w:rsidP="008F5252">
            <w:pPr>
              <w:keepLines/>
              <w:widowControl w:val="0"/>
              <w:rPr>
                <w:rFonts w:cstheme="minorHAnsi"/>
                <w:sz w:val="20"/>
                <w:szCs w:val="20"/>
                <w:u w:val="single"/>
                <w:lang w:val="sr-Cyrl-RS"/>
              </w:rPr>
            </w:pPr>
            <w:r w:rsidRPr="00574D1C">
              <w:rPr>
                <w:rFonts w:cstheme="minorHAnsi"/>
                <w:sz w:val="20"/>
                <w:szCs w:val="20"/>
                <w:u w:val="single"/>
                <w:lang w:val="sr-Cyrl-RS"/>
              </w:rPr>
              <w:t xml:space="preserve">Теме за обуку </w:t>
            </w:r>
            <w:r w:rsidR="00287703">
              <w:rPr>
                <w:rFonts w:cstheme="minorHAnsi"/>
                <w:sz w:val="20"/>
                <w:szCs w:val="20"/>
                <w:u w:val="single"/>
                <w:lang w:val="sr-Cyrl-RS"/>
              </w:rPr>
              <w:t>лица</w:t>
            </w:r>
            <w:r w:rsidRPr="00574D1C">
              <w:rPr>
                <w:rFonts w:cstheme="minorHAnsi"/>
                <w:sz w:val="20"/>
                <w:szCs w:val="20"/>
                <w:u w:val="single"/>
                <w:lang w:val="sr-Cyrl-RS"/>
              </w:rPr>
              <w:t xml:space="preserve"> ангажованих на спровођењу Пројекта ће нарочито </w:t>
            </w:r>
            <w:r w:rsidR="00E7364E">
              <w:rPr>
                <w:rFonts w:cstheme="minorHAnsi"/>
                <w:sz w:val="20"/>
                <w:szCs w:val="20"/>
                <w:u w:val="single"/>
                <w:lang w:val="sr-Cyrl-RS"/>
              </w:rPr>
              <w:t>обухватати</w:t>
            </w:r>
            <w:r w:rsidRPr="00574D1C">
              <w:rPr>
                <w:rFonts w:cstheme="minorHAnsi"/>
                <w:sz w:val="20"/>
                <w:szCs w:val="20"/>
                <w:u w:val="single"/>
                <w:lang w:val="sr-Cyrl-RS"/>
              </w:rPr>
              <w:t>:</w:t>
            </w:r>
          </w:p>
          <w:p w14:paraId="378A5B37" w14:textId="655989A6" w:rsidR="00077801" w:rsidRPr="00574D1C" w:rsidRDefault="008F5252" w:rsidP="00077801">
            <w:pPr>
              <w:keepLines/>
              <w:widowControl w:val="0"/>
              <w:numPr>
                <w:ilvl w:val="0"/>
                <w:numId w:val="25"/>
              </w:numPr>
              <w:rPr>
                <w:rFonts w:cstheme="minorHAnsi"/>
                <w:sz w:val="20"/>
                <w:szCs w:val="20"/>
                <w:lang w:val="sr-Cyrl-RS"/>
              </w:rPr>
            </w:pPr>
            <w:r w:rsidRPr="00574D1C">
              <w:rPr>
                <w:rFonts w:cstheme="minorHAnsi"/>
                <w:sz w:val="20"/>
                <w:szCs w:val="20"/>
                <w:lang w:val="sr-Cyrl-RS"/>
              </w:rPr>
              <w:t xml:space="preserve">теме за обуку у складу са </w:t>
            </w:r>
            <w:r w:rsidR="00CB6CC8" w:rsidRPr="00574D1C">
              <w:rPr>
                <w:rFonts w:cstheme="minorHAnsi"/>
                <w:sz w:val="20"/>
                <w:szCs w:val="20"/>
                <w:lang w:val="sr-Cyrl-RS"/>
              </w:rPr>
              <w:t>Националним и техничким смерницама СЗО о коронавирусној болести (ковид-19)</w:t>
            </w:r>
            <w:r w:rsidR="000A23EC" w:rsidRPr="00574D1C">
              <w:rPr>
                <w:rFonts w:cstheme="minorHAnsi"/>
                <w:sz w:val="20"/>
                <w:szCs w:val="20"/>
                <w:lang w:val="sr-Cyrl-RS"/>
              </w:rPr>
              <w:t>, доступним на адреси</w:t>
            </w:r>
            <w:r w:rsidR="00077801" w:rsidRPr="00574D1C">
              <w:rPr>
                <w:rFonts w:cstheme="minorHAnsi"/>
                <w:sz w:val="20"/>
                <w:szCs w:val="20"/>
                <w:lang w:val="sr-Cyrl-RS"/>
              </w:rPr>
              <w:t xml:space="preserve"> </w:t>
            </w:r>
            <w:hyperlink r:id="rId15" w:history="1">
              <w:r w:rsidR="00077801" w:rsidRPr="00574D1C">
                <w:rPr>
                  <w:rStyle w:val="Hyperlink"/>
                  <w:rFonts w:cstheme="minorHAnsi"/>
                  <w:sz w:val="20"/>
                  <w:szCs w:val="20"/>
                  <w:lang w:val="sr-Cyrl-RS"/>
                </w:rPr>
                <w:t>who.int/emergencies/diseases/novel-coronavirus-2019/technical-guidance</w:t>
              </w:r>
            </w:hyperlink>
            <w:r w:rsidR="000355DE" w:rsidRPr="00574D1C">
              <w:rPr>
                <w:rFonts w:cstheme="minorHAnsi"/>
                <w:sz w:val="20"/>
                <w:szCs w:val="20"/>
                <w:lang w:val="sr-Cyrl-RS"/>
              </w:rPr>
              <w:t>, укључујући нарочито</w:t>
            </w:r>
            <w:r w:rsidR="00077801" w:rsidRPr="00574D1C">
              <w:rPr>
                <w:rFonts w:cstheme="minorHAnsi"/>
                <w:sz w:val="20"/>
                <w:szCs w:val="20"/>
                <w:lang w:val="sr-Cyrl-RS"/>
              </w:rPr>
              <w:t>:</w:t>
            </w:r>
          </w:p>
          <w:p w14:paraId="39643221" w14:textId="6E00FD71" w:rsidR="00077801" w:rsidRPr="00574D1C" w:rsidRDefault="000355DE" w:rsidP="000355DE">
            <w:pPr>
              <w:keepLines/>
              <w:widowControl w:val="0"/>
              <w:numPr>
                <w:ilvl w:val="1"/>
                <w:numId w:val="26"/>
              </w:numPr>
              <w:ind w:left="1146" w:hanging="284"/>
              <w:rPr>
                <w:rFonts w:cstheme="minorHAnsi"/>
                <w:sz w:val="20"/>
                <w:szCs w:val="20"/>
                <w:lang w:val="sr-Cyrl-RS"/>
              </w:rPr>
            </w:pPr>
            <w:r w:rsidRPr="00574D1C">
              <w:rPr>
                <w:rFonts w:cstheme="minorHAnsi"/>
                <w:sz w:val="20"/>
                <w:szCs w:val="20"/>
                <w:lang w:val="sr-Cyrl-RS"/>
              </w:rPr>
              <w:t>препоруке за спречавање заразе ковидом-19 и њену контролу</w:t>
            </w:r>
            <w:r w:rsidR="00077801" w:rsidRPr="00574D1C">
              <w:rPr>
                <w:rFonts w:cstheme="minorHAnsi"/>
                <w:iCs/>
                <w:sz w:val="20"/>
                <w:szCs w:val="20"/>
                <w:lang w:val="sr-Cyrl-RS"/>
              </w:rPr>
              <w:t xml:space="preserve"> </w:t>
            </w:r>
          </w:p>
          <w:p w14:paraId="4330F0A0" w14:textId="03866BBA" w:rsidR="000355DE" w:rsidRPr="00574D1C" w:rsidRDefault="000355DE" w:rsidP="00077801">
            <w:pPr>
              <w:keepLines/>
              <w:widowControl w:val="0"/>
              <w:numPr>
                <w:ilvl w:val="1"/>
                <w:numId w:val="26"/>
              </w:numPr>
              <w:ind w:left="1146" w:hanging="284"/>
              <w:rPr>
                <w:rFonts w:cstheme="minorHAnsi"/>
                <w:sz w:val="20"/>
                <w:szCs w:val="20"/>
                <w:lang w:val="sr-Cyrl-RS"/>
              </w:rPr>
            </w:pPr>
            <w:r w:rsidRPr="00574D1C">
              <w:rPr>
                <w:rFonts w:cstheme="minorHAnsi"/>
                <w:sz w:val="20"/>
                <w:szCs w:val="20"/>
                <w:lang w:val="sr-Cyrl-RS"/>
              </w:rPr>
              <w:t>смернице за биолошку безбедност у лабораторијама у односу на ковид-19</w:t>
            </w:r>
          </w:p>
          <w:p w14:paraId="6C8B49FA" w14:textId="40B86256" w:rsidR="00077801" w:rsidRPr="00574D1C" w:rsidRDefault="000355DE" w:rsidP="000355DE">
            <w:pPr>
              <w:keepLines/>
              <w:widowControl w:val="0"/>
              <w:numPr>
                <w:ilvl w:val="1"/>
                <w:numId w:val="26"/>
              </w:numPr>
              <w:ind w:left="1146" w:hanging="284"/>
              <w:rPr>
                <w:rFonts w:cstheme="minorHAnsi"/>
                <w:sz w:val="20"/>
                <w:szCs w:val="20"/>
                <w:lang w:val="sr-Cyrl-RS"/>
              </w:rPr>
            </w:pPr>
            <w:r w:rsidRPr="00574D1C">
              <w:rPr>
                <w:rFonts w:cstheme="minorHAnsi"/>
                <w:sz w:val="20"/>
                <w:szCs w:val="20"/>
                <w:lang w:val="sr-Cyrl-RS"/>
              </w:rPr>
              <w:t>узимање и транспорт узорака</w:t>
            </w:r>
          </w:p>
          <w:p w14:paraId="550C6CFF" w14:textId="24119BB4" w:rsidR="000355DE" w:rsidRPr="00574D1C" w:rsidRDefault="000355DE" w:rsidP="00077801">
            <w:pPr>
              <w:keepLines/>
              <w:widowControl w:val="0"/>
              <w:numPr>
                <w:ilvl w:val="1"/>
                <w:numId w:val="26"/>
              </w:numPr>
              <w:ind w:left="1146" w:hanging="284"/>
              <w:rPr>
                <w:rFonts w:cstheme="minorHAnsi"/>
                <w:sz w:val="20"/>
                <w:szCs w:val="20"/>
                <w:lang w:val="sr-Cyrl-RS"/>
              </w:rPr>
            </w:pPr>
            <w:r w:rsidRPr="00574D1C">
              <w:rPr>
                <w:rFonts w:cstheme="minorHAnsi"/>
                <w:sz w:val="20"/>
                <w:szCs w:val="20"/>
                <w:lang w:val="sr-Cyrl-RS"/>
              </w:rPr>
              <w:t>стандардне мере предострожности за оболеле од ковида-19</w:t>
            </w:r>
          </w:p>
          <w:p w14:paraId="7D03DE4E" w14:textId="2CE036F7" w:rsidR="00077801" w:rsidRPr="00574D1C" w:rsidRDefault="000355DE" w:rsidP="000355DE">
            <w:pPr>
              <w:keepLines/>
              <w:widowControl w:val="0"/>
              <w:numPr>
                <w:ilvl w:val="1"/>
                <w:numId w:val="26"/>
              </w:numPr>
              <w:ind w:left="1146" w:hanging="284"/>
              <w:rPr>
                <w:rFonts w:cstheme="minorHAnsi"/>
                <w:sz w:val="20"/>
                <w:szCs w:val="20"/>
                <w:lang w:val="sr-Cyrl-RS"/>
              </w:rPr>
            </w:pPr>
            <w:r w:rsidRPr="00574D1C">
              <w:rPr>
                <w:rFonts w:cstheme="minorHAnsi"/>
                <w:sz w:val="20"/>
                <w:szCs w:val="20"/>
                <w:lang w:val="sr-Cyrl-RS"/>
              </w:rPr>
              <w:t>информисање о ризицима и ангажман са заједницом</w:t>
            </w:r>
          </w:p>
          <w:p w14:paraId="76FDC1B7" w14:textId="37C87106" w:rsidR="00077801" w:rsidRPr="00574D1C" w:rsidRDefault="000355DE" w:rsidP="000355DE">
            <w:pPr>
              <w:keepLines/>
              <w:widowControl w:val="0"/>
              <w:numPr>
                <w:ilvl w:val="1"/>
                <w:numId w:val="26"/>
              </w:numPr>
              <w:ind w:left="1146" w:hanging="284"/>
              <w:rPr>
                <w:rFonts w:cstheme="minorHAnsi"/>
                <w:sz w:val="20"/>
                <w:szCs w:val="20"/>
                <w:lang w:val="sr-Cyrl-RS"/>
              </w:rPr>
            </w:pPr>
            <w:r w:rsidRPr="00574D1C">
              <w:rPr>
                <w:rFonts w:cstheme="minorHAnsi"/>
                <w:sz w:val="20"/>
                <w:szCs w:val="20"/>
                <w:lang w:val="sr-Cyrl-RS"/>
              </w:rPr>
              <w:t>успостављање карантина</w:t>
            </w:r>
          </w:p>
          <w:p w14:paraId="0DB7DDAD" w14:textId="67E31ECC" w:rsidR="00085B32" w:rsidRPr="00574D1C" w:rsidRDefault="00085B32" w:rsidP="00077801">
            <w:pPr>
              <w:pStyle w:val="ListParagraph"/>
              <w:keepLines/>
              <w:widowControl w:val="0"/>
              <w:numPr>
                <w:ilvl w:val="0"/>
                <w:numId w:val="25"/>
              </w:numPr>
              <w:spacing w:after="0"/>
              <w:ind w:left="714" w:hanging="357"/>
              <w:rPr>
                <w:rFonts w:cstheme="minorHAnsi"/>
                <w:sz w:val="20"/>
                <w:szCs w:val="20"/>
                <w:lang w:val="sr-Cyrl-RS"/>
              </w:rPr>
            </w:pPr>
            <w:r w:rsidRPr="00574D1C">
              <w:rPr>
                <w:rFonts w:cstheme="minorHAnsi"/>
                <w:sz w:val="20"/>
                <w:szCs w:val="20"/>
                <w:lang w:val="sr-Cyrl-RS"/>
              </w:rPr>
              <w:t xml:space="preserve">теме за обуку у складу са </w:t>
            </w:r>
            <w:r w:rsidR="00A84C0F" w:rsidRPr="00574D1C">
              <w:rPr>
                <w:rFonts w:cstheme="minorHAnsi"/>
                <w:sz w:val="20"/>
                <w:szCs w:val="20"/>
                <w:lang w:val="sr-Cyrl-RS"/>
              </w:rPr>
              <w:t>Смерницама СЗО о безбедном управљању медицинским отпадом из здравствене заштите</w:t>
            </w:r>
            <w:r w:rsidR="00081220" w:rsidRPr="00574D1C">
              <w:rPr>
                <w:rFonts w:cstheme="minorHAnsi"/>
                <w:sz w:val="20"/>
                <w:szCs w:val="20"/>
                <w:lang w:val="sr-Cyrl-RS"/>
              </w:rPr>
              <w:t>, доступним на адреси</w:t>
            </w:r>
          </w:p>
          <w:p w14:paraId="5EFD1E99" w14:textId="78C12F53" w:rsidR="00077801" w:rsidRPr="00574D1C" w:rsidRDefault="002C0C63" w:rsidP="00077801">
            <w:pPr>
              <w:keepLines/>
              <w:widowControl w:val="0"/>
              <w:ind w:left="714"/>
              <w:rPr>
                <w:rFonts w:eastAsiaTheme="minorEastAsia" w:cstheme="minorHAnsi"/>
                <w:sz w:val="20"/>
                <w:szCs w:val="20"/>
                <w:u w:val="single"/>
                <w:lang w:val="sr-Cyrl-RS"/>
              </w:rPr>
            </w:pPr>
            <w:hyperlink r:id="rId16" w:history="1">
              <w:r w:rsidR="00077801" w:rsidRPr="00574D1C">
                <w:rPr>
                  <w:rStyle w:val="Hyperlink"/>
                  <w:rFonts w:cstheme="minorHAnsi"/>
                  <w:sz w:val="20"/>
                  <w:szCs w:val="20"/>
                  <w:lang w:val="sr-Cyrl-RS"/>
                </w:rPr>
                <w:t>apps.who.int/iris/bitstream/handle/10665/85349/9789241548564_eng.pdf;jsessionid=EE45FF4B510A5297A7DFF6030A3BED25?sequence=1</w:t>
              </w:r>
            </w:hyperlink>
          </w:p>
          <w:p w14:paraId="291ACEBE" w14:textId="2C434A33" w:rsidR="00077801" w:rsidRPr="00574D1C" w:rsidRDefault="00813DB0" w:rsidP="00077801">
            <w:pPr>
              <w:keepLines/>
              <w:widowControl w:val="0"/>
              <w:numPr>
                <w:ilvl w:val="0"/>
                <w:numId w:val="25"/>
              </w:numPr>
              <w:ind w:left="714" w:hanging="357"/>
              <w:rPr>
                <w:rFonts w:cstheme="minorHAnsi"/>
                <w:sz w:val="20"/>
                <w:szCs w:val="20"/>
                <w:u w:val="single"/>
                <w:lang w:val="sr-Cyrl-RS"/>
              </w:rPr>
            </w:pPr>
            <w:r w:rsidRPr="00574D1C">
              <w:rPr>
                <w:rFonts w:cstheme="minorHAnsi"/>
                <w:sz w:val="20"/>
                <w:szCs w:val="20"/>
                <w:lang w:val="sr-Cyrl-RS"/>
              </w:rPr>
              <w:t>домаћи правни</w:t>
            </w:r>
            <w:r w:rsidR="00A30A1C" w:rsidRPr="00574D1C">
              <w:rPr>
                <w:rFonts w:cstheme="minorHAnsi"/>
                <w:sz w:val="20"/>
                <w:szCs w:val="20"/>
                <w:lang w:val="sr-Cyrl-RS"/>
              </w:rPr>
              <w:t xml:space="preserve"> </w:t>
            </w:r>
            <w:r w:rsidRPr="00574D1C">
              <w:rPr>
                <w:rFonts w:cstheme="minorHAnsi"/>
                <w:sz w:val="20"/>
                <w:szCs w:val="20"/>
                <w:lang w:val="sr-Cyrl-RS"/>
              </w:rPr>
              <w:t>оквир којим се уређују санитарна питања</w:t>
            </w:r>
          </w:p>
        </w:tc>
        <w:tc>
          <w:tcPr>
            <w:tcW w:w="3780" w:type="dxa"/>
          </w:tcPr>
          <w:p w14:paraId="047A17A2" w14:textId="3A37C25D" w:rsidR="00077801" w:rsidRPr="00574D1C" w:rsidRDefault="00613789" w:rsidP="00077801">
            <w:pPr>
              <w:keepLines/>
              <w:widowControl w:val="0"/>
              <w:rPr>
                <w:rFonts w:cstheme="minorHAnsi"/>
                <w:iCs/>
                <w:sz w:val="20"/>
                <w:szCs w:val="20"/>
                <w:lang w:val="sr-Cyrl-RS"/>
              </w:rPr>
            </w:pPr>
            <w:r w:rsidRPr="00574D1C">
              <w:rPr>
                <w:sz w:val="20"/>
                <w:szCs w:val="20"/>
                <w:lang w:val="sr-Cyrl-RS"/>
              </w:rPr>
              <w:t>Током реализације Пројекта.</w:t>
            </w:r>
          </w:p>
        </w:tc>
        <w:tc>
          <w:tcPr>
            <w:tcW w:w="3690" w:type="dxa"/>
          </w:tcPr>
          <w:p w14:paraId="5AE955B3" w14:textId="779F8134" w:rsidR="00077801" w:rsidRPr="00574D1C" w:rsidRDefault="00F327C1" w:rsidP="00077801">
            <w:pPr>
              <w:keepLines/>
              <w:widowControl w:val="0"/>
              <w:rPr>
                <w:rFonts w:cstheme="minorHAnsi"/>
                <w:iCs/>
                <w:sz w:val="20"/>
                <w:szCs w:val="20"/>
                <w:lang w:val="sr-Cyrl-RS"/>
              </w:rPr>
            </w:pPr>
            <w:r>
              <w:rPr>
                <w:rFonts w:cstheme="minorHAnsi"/>
                <w:iCs/>
                <w:sz w:val="20"/>
                <w:szCs w:val="20"/>
                <w:lang w:val="sr-Cyrl-RS"/>
              </w:rPr>
              <w:t xml:space="preserve">ЈКП МЗ у сарадњи са домаћим здравственим </w:t>
            </w:r>
            <w:r w:rsidR="006A5DEB">
              <w:rPr>
                <w:rFonts w:cstheme="minorHAnsi"/>
                <w:iCs/>
                <w:sz w:val="20"/>
                <w:szCs w:val="20"/>
                <w:lang w:val="sr-Cyrl-RS"/>
              </w:rPr>
              <w:t xml:space="preserve">институцијама </w:t>
            </w:r>
            <w:r>
              <w:rPr>
                <w:rFonts w:cstheme="minorHAnsi"/>
                <w:iCs/>
                <w:sz w:val="20"/>
                <w:szCs w:val="20"/>
                <w:lang w:val="sr-Cyrl-RS"/>
              </w:rPr>
              <w:t>са искуством у одговарајућим областима и</w:t>
            </w:r>
            <w:r>
              <w:rPr>
                <w:rFonts w:cstheme="minorHAnsi"/>
                <w:iCs/>
                <w:sz w:val="20"/>
                <w:szCs w:val="20"/>
                <w:lang w:val="sr-Latn-RS"/>
              </w:rPr>
              <w:t>/</w:t>
            </w:r>
            <w:r>
              <w:rPr>
                <w:rFonts w:cstheme="minorHAnsi"/>
                <w:iCs/>
                <w:sz w:val="20"/>
                <w:szCs w:val="20"/>
                <w:lang w:val="sr-Cyrl-RS"/>
              </w:rPr>
              <w:t xml:space="preserve">или у координацији </w:t>
            </w:r>
            <w:r w:rsidR="00AB6E43">
              <w:rPr>
                <w:rFonts w:cstheme="minorHAnsi"/>
                <w:iCs/>
                <w:sz w:val="20"/>
                <w:szCs w:val="20"/>
                <w:lang w:val="sr-Cyrl-RS"/>
              </w:rPr>
              <w:t xml:space="preserve">са СЗО </w:t>
            </w:r>
            <w:r>
              <w:rPr>
                <w:rFonts w:cstheme="minorHAnsi"/>
                <w:iCs/>
                <w:sz w:val="20"/>
                <w:szCs w:val="20"/>
                <w:lang w:val="sr-Cyrl-RS"/>
              </w:rPr>
              <w:t xml:space="preserve">или уз </w:t>
            </w:r>
            <w:r w:rsidR="00D2331C">
              <w:rPr>
                <w:rFonts w:cstheme="minorHAnsi"/>
                <w:iCs/>
                <w:sz w:val="20"/>
                <w:szCs w:val="20"/>
                <w:lang w:val="sr-Cyrl-RS"/>
              </w:rPr>
              <w:t xml:space="preserve">њено </w:t>
            </w:r>
            <w:r>
              <w:rPr>
                <w:rFonts w:cstheme="minorHAnsi"/>
                <w:iCs/>
                <w:sz w:val="20"/>
                <w:szCs w:val="20"/>
                <w:lang w:val="sr-Cyrl-RS"/>
              </w:rPr>
              <w:t>вођство</w:t>
            </w:r>
            <w:r w:rsidR="00744A37">
              <w:rPr>
                <w:rFonts w:cstheme="minorHAnsi"/>
                <w:iCs/>
                <w:sz w:val="20"/>
                <w:szCs w:val="20"/>
                <w:lang w:val="sr-Cyrl-RS"/>
              </w:rPr>
              <w:t>.</w:t>
            </w:r>
          </w:p>
        </w:tc>
      </w:tr>
    </w:tbl>
    <w:p w14:paraId="67532740" w14:textId="77777777" w:rsidR="00701091" w:rsidRPr="00574D1C" w:rsidRDefault="00701091" w:rsidP="00F47DA0">
      <w:pPr>
        <w:rPr>
          <w:sz w:val="20"/>
          <w:szCs w:val="20"/>
          <w:lang w:val="sr-Cyrl-RS"/>
        </w:rPr>
      </w:pPr>
    </w:p>
    <w:sectPr w:rsidR="00701091" w:rsidRPr="00574D1C" w:rsidSect="00A01978">
      <w:headerReference w:type="even" r:id="rId17"/>
      <w:headerReference w:type="default" r:id="rId18"/>
      <w:footerReference w:type="default" r:id="rId19"/>
      <w:headerReference w:type="first" r:id="rId20"/>
      <w:pgSz w:w="15840" w:h="12240" w:orient="landscape"/>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212B9" w14:textId="77777777" w:rsidR="002C0C63" w:rsidRDefault="002C0C63" w:rsidP="00E35CB2">
      <w:r>
        <w:separator/>
      </w:r>
    </w:p>
    <w:p w14:paraId="71354787" w14:textId="77777777" w:rsidR="002C0C63" w:rsidRDefault="002C0C63"/>
    <w:p w14:paraId="2405FDDB" w14:textId="77777777" w:rsidR="002C0C63" w:rsidRDefault="002C0C63"/>
    <w:p w14:paraId="14E87F1F" w14:textId="77777777" w:rsidR="002C0C63" w:rsidRDefault="002C0C63"/>
    <w:p w14:paraId="36618375" w14:textId="77777777" w:rsidR="002C0C63" w:rsidRDefault="002C0C63"/>
  </w:endnote>
  <w:endnote w:type="continuationSeparator" w:id="0">
    <w:p w14:paraId="6210D801" w14:textId="77777777" w:rsidR="002C0C63" w:rsidRDefault="002C0C63" w:rsidP="00E35CB2">
      <w:r>
        <w:continuationSeparator/>
      </w:r>
    </w:p>
    <w:p w14:paraId="3B3B932D" w14:textId="77777777" w:rsidR="002C0C63" w:rsidRDefault="002C0C63"/>
    <w:p w14:paraId="778A0601" w14:textId="77777777" w:rsidR="002C0C63" w:rsidRDefault="002C0C63"/>
    <w:p w14:paraId="05153A58" w14:textId="77777777" w:rsidR="002C0C63" w:rsidRDefault="002C0C63"/>
    <w:p w14:paraId="1A6BFDB0" w14:textId="77777777" w:rsidR="002C0C63" w:rsidRDefault="002C0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648033"/>
      <w:docPartObj>
        <w:docPartGallery w:val="Page Numbers (Bottom of Page)"/>
        <w:docPartUnique/>
      </w:docPartObj>
    </w:sdtPr>
    <w:sdtEndPr>
      <w:rPr>
        <w:color w:val="7F7F7F" w:themeColor="background1" w:themeShade="7F"/>
        <w:spacing w:val="60"/>
      </w:rPr>
    </w:sdtEndPr>
    <w:sdtContent>
      <w:p w14:paraId="60A8E2E4" w14:textId="0F5BB7F1" w:rsidR="00DD2CC1" w:rsidRDefault="002331B9">
        <w:pPr>
          <w:pStyle w:val="Footer"/>
          <w:pBdr>
            <w:top w:val="single" w:sz="4" w:space="1" w:color="D9D9D9" w:themeColor="background1" w:themeShade="D9"/>
          </w:pBdr>
          <w:jc w:val="right"/>
        </w:pPr>
        <w:r>
          <w:rPr>
            <w:color w:val="7F7F7F" w:themeColor="background1" w:themeShade="7F"/>
            <w:spacing w:val="60"/>
            <w:lang w:val="sr-Cyrl-RS"/>
          </w:rPr>
          <w:t>Страна</w:t>
        </w:r>
        <w:r w:rsidRPr="002331B9">
          <w:t xml:space="preserve"> </w:t>
        </w:r>
        <w:r>
          <w:t xml:space="preserve">| </w:t>
        </w:r>
        <w:r w:rsidR="00DD2CC1">
          <w:fldChar w:fldCharType="begin"/>
        </w:r>
        <w:r w:rsidR="00DD2CC1">
          <w:instrText xml:space="preserve"> PAGE   \* MERGEFORMAT </w:instrText>
        </w:r>
        <w:r w:rsidR="00DD2CC1">
          <w:fldChar w:fldCharType="separate"/>
        </w:r>
        <w:r w:rsidR="00D00DC7">
          <w:rPr>
            <w:noProof/>
          </w:rPr>
          <w:t>2</w:t>
        </w:r>
        <w:r w:rsidR="00DD2CC1">
          <w:rPr>
            <w:noProof/>
          </w:rPr>
          <w:fldChar w:fldCharType="end"/>
        </w:r>
      </w:p>
    </w:sdtContent>
  </w:sdt>
  <w:p w14:paraId="4A153B37" w14:textId="77777777" w:rsidR="00DD2CC1" w:rsidRDefault="00DD2C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7102"/>
      <w:docPartObj>
        <w:docPartGallery w:val="Page Numbers (Bottom of Page)"/>
        <w:docPartUnique/>
      </w:docPartObj>
    </w:sdtPr>
    <w:sdtEndPr>
      <w:rPr>
        <w:color w:val="7F7F7F" w:themeColor="background1" w:themeShade="7F"/>
        <w:spacing w:val="60"/>
      </w:rPr>
    </w:sdtEndPr>
    <w:sdtContent>
      <w:p w14:paraId="58D7AA60" w14:textId="3E406AB3" w:rsidR="00DD2CC1" w:rsidRDefault="00D74C72">
        <w:pPr>
          <w:pStyle w:val="Footer"/>
          <w:pBdr>
            <w:top w:val="single" w:sz="4" w:space="1" w:color="D9D9D9" w:themeColor="background1" w:themeShade="D9"/>
          </w:pBdr>
          <w:jc w:val="right"/>
        </w:pPr>
        <w:r>
          <w:rPr>
            <w:color w:val="7F7F7F" w:themeColor="background1" w:themeShade="7F"/>
            <w:spacing w:val="60"/>
            <w:lang w:val="sr-Cyrl-RS"/>
          </w:rPr>
          <w:t>Страна</w:t>
        </w:r>
        <w:r w:rsidRPr="002331B9">
          <w:t xml:space="preserve"> </w:t>
        </w:r>
        <w:r>
          <w:t>|</w:t>
        </w:r>
        <w:r>
          <w:rPr>
            <w:lang w:val="sr-Cyrl-RS"/>
          </w:rPr>
          <w:t xml:space="preserve"> </w:t>
        </w:r>
        <w:r w:rsidR="00DD2CC1">
          <w:fldChar w:fldCharType="begin"/>
        </w:r>
        <w:r w:rsidR="00DD2CC1">
          <w:instrText xml:space="preserve"> PAGE   \* MERGEFORMAT </w:instrText>
        </w:r>
        <w:r w:rsidR="00DD2CC1">
          <w:fldChar w:fldCharType="separate"/>
        </w:r>
        <w:r w:rsidR="00D00DC7">
          <w:rPr>
            <w:noProof/>
          </w:rPr>
          <w:t>7</w:t>
        </w:r>
        <w:r w:rsidR="00DD2CC1">
          <w:rPr>
            <w:noProof/>
          </w:rPr>
          <w:fldChar w:fldCharType="end"/>
        </w:r>
      </w:p>
    </w:sdtContent>
  </w:sdt>
  <w:p w14:paraId="2528C48D" w14:textId="77777777" w:rsidR="00DD2CC1" w:rsidRDefault="00DD2C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EC91" w14:textId="77777777" w:rsidR="002C0C63" w:rsidRDefault="002C0C63" w:rsidP="00E35CB2">
      <w:r>
        <w:separator/>
      </w:r>
    </w:p>
    <w:p w14:paraId="571B4B0B" w14:textId="77777777" w:rsidR="002C0C63" w:rsidRDefault="002C0C63"/>
    <w:p w14:paraId="4D1AD311" w14:textId="77777777" w:rsidR="002C0C63" w:rsidRDefault="002C0C63"/>
    <w:p w14:paraId="19200680" w14:textId="77777777" w:rsidR="002C0C63" w:rsidRDefault="002C0C63"/>
    <w:p w14:paraId="7CA60F5F" w14:textId="77777777" w:rsidR="002C0C63" w:rsidRDefault="002C0C63"/>
  </w:footnote>
  <w:footnote w:type="continuationSeparator" w:id="0">
    <w:p w14:paraId="29555B30" w14:textId="77777777" w:rsidR="002C0C63" w:rsidRDefault="002C0C63" w:rsidP="00E35CB2">
      <w:r>
        <w:continuationSeparator/>
      </w:r>
    </w:p>
    <w:p w14:paraId="4A98199A" w14:textId="77777777" w:rsidR="002C0C63" w:rsidRDefault="002C0C63"/>
    <w:p w14:paraId="481B08A1" w14:textId="77777777" w:rsidR="002C0C63" w:rsidRDefault="002C0C63"/>
    <w:p w14:paraId="5026E09A" w14:textId="77777777" w:rsidR="002C0C63" w:rsidRDefault="002C0C63"/>
    <w:p w14:paraId="7E836529" w14:textId="77777777" w:rsidR="002C0C63" w:rsidRDefault="002C0C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D0429" w14:textId="0D83A6A4" w:rsidR="00DD2CC1" w:rsidRDefault="00DD2CC1">
    <w:pPr>
      <w:pStyle w:val="Header"/>
    </w:pPr>
    <w:r>
      <w:rPr>
        <w:noProof/>
        <w:lang w:val="en-GB" w:eastAsia="en-GB"/>
      </w:rPr>
      <mc:AlternateContent>
        <mc:Choice Requires="wps">
          <w:drawing>
            <wp:anchor distT="0" distB="0" distL="114300" distR="114300" simplePos="0" relativeHeight="251656704"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" o:allowincell="f" filled="f" stroked="f">
              <v:stroke joinstyle="round"/>
              <o:lock v:ext="edit" shapetype="t"/>
              <v:textbox style="mso-fit-shape-to-text:t">
                <w:txbxContent>
                  <w:p w14:paraId="3728469E"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8772" w14:textId="77777777" w:rsidR="00DD2CC1" w:rsidRPr="00AD0A1F" w:rsidRDefault="00DD2CC1" w:rsidP="00D00DC7">
    <w:pPr>
      <w:pStyle w:val="Header"/>
      <w:rPr>
        <w:rFonts w:cstheme="minorHAnsi"/>
        <w:b/>
        <w:color w:val="808080" w:themeColor="background1" w:themeShade="8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E787A" w14:textId="4AF7400B" w:rsidR="00DD2CC1" w:rsidRDefault="00DD2CC1">
    <w:pPr>
      <w:pStyle w:val="Header"/>
    </w:pPr>
    <w:r>
      <w:rPr>
        <w:noProof/>
        <w:lang w:val="en-GB" w:eastAsia="en-GB"/>
      </w:rPr>
      <mc:AlternateContent>
        <mc:Choice Requires="wps">
          <w:drawing>
            <wp:anchor distT="0" distB="0" distL="114300" distR="114300" simplePos="0" relativeHeight="251655680" behindDoc="1" locked="0" layoutInCell="0" allowOverlap="1" wp14:anchorId="6241FC65" wp14:editId="7D373B9F">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" o:allowincell="f" filled="f" stroked="f">
              <v:stroke joinstyle="round"/>
              <o:lock v:ext="edit" shapetype="t"/>
              <v:textbox style="mso-fit-shape-to-text:t">
                <w:txbxContent>
                  <w:p w14:paraId="29774884" w14:textId="77777777" w:rsidR="00DD2CC1" w:rsidRDefault="00DD2CC1"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9ACF8" w14:textId="1FF99ADF" w:rsidR="00DD2CC1" w:rsidRDefault="00DD2CC1">
    <w:pPr>
      <w:pStyle w:val="Header"/>
    </w:pPr>
  </w:p>
  <w:p w14:paraId="32CFDEFF" w14:textId="77777777" w:rsidR="00DD2CC1" w:rsidRDefault="00DD2CC1"/>
  <w:p w14:paraId="4D3CEA79" w14:textId="77777777" w:rsidR="00DD2CC1" w:rsidRDefault="00DD2CC1"/>
  <w:p w14:paraId="1D350BEF" w14:textId="77777777" w:rsidR="00DD2CC1" w:rsidRDefault="00DD2CC1"/>
  <w:p w14:paraId="5668CBEA" w14:textId="77777777" w:rsidR="00DD2CC1" w:rsidRDefault="00DD2CC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8C3A" w14:textId="496598F1" w:rsidR="00DD2CC1" w:rsidRDefault="00371336" w:rsidP="00371336">
    <w:pPr>
      <w:pStyle w:val="Header"/>
      <w:rPr>
        <w:rFonts w:cstheme="minorHAnsi"/>
        <w:b/>
        <w:smallCaps/>
        <w:color w:val="808080" w:themeColor="background1" w:themeShade="80"/>
        <w:sz w:val="16"/>
        <w:szCs w:val="16"/>
        <w:lang w:val="sr-Cyrl-RS"/>
      </w:rPr>
    </w:pPr>
    <w:r w:rsidRPr="0078266E">
      <w:rPr>
        <w:rFonts w:cstheme="minorHAnsi"/>
        <w:b/>
        <w:smallCaps/>
        <w:noProof/>
        <w:sz w:val="16"/>
        <w:szCs w:val="16"/>
        <w:lang w:val="en-GB" w:eastAsia="en-GB"/>
      </w:rPr>
      <mc:AlternateContent>
        <mc:Choice Requires="wps">
          <w:drawing>
            <wp:anchor distT="0" distB="0" distL="114300" distR="114300" simplePos="0" relativeHeight="251659776" behindDoc="1" locked="0" layoutInCell="0" allowOverlap="1" wp14:anchorId="0D585D1E" wp14:editId="11F90D0F">
              <wp:simplePos x="0" y="0"/>
              <wp:positionH relativeFrom="margin">
                <wp:align>center</wp:align>
              </wp:positionH>
              <wp:positionV relativeFrom="margin">
                <wp:align>center</wp:align>
              </wp:positionV>
              <wp:extent cx="6703695" cy="1675765"/>
              <wp:effectExtent l="0" t="2028825" r="0" b="1677035"/>
              <wp:wrapNone/>
              <wp:docPr id="5"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84B86C" w14:textId="77777777" w:rsidR="00371336" w:rsidRDefault="00371336" w:rsidP="00371336">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D585D1E" id="_x0000_t202" coordsize="21600,21600" o:spt="202" path="m,l,21600r21600,l21600,xe">
              <v:stroke joinstyle="miter"/>
              <v:path gradientshapeok="t" o:connecttype="rect"/>
            </v:shapetype>
            <v:shape id="_x0000_s1029" type="#_x0000_t202" style="position:absolute;margin-left:0;margin-top:0;width:527.85pt;height:131.9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" o:allowincell="f" filled="f" stroked="f">
              <v:stroke joinstyle="round"/>
              <o:lock v:ext="edit" shapetype="t"/>
              <v:textbox style="mso-fit-shape-to-text:t">
                <w:txbxContent>
                  <w:p w14:paraId="1284B86C" w14:textId="77777777" w:rsidR="00371336" w:rsidRDefault="00371336" w:rsidP="00371336">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78266E">
      <w:rPr>
        <w:rFonts w:cstheme="minorHAnsi"/>
        <w:b/>
        <w:smallCaps/>
        <w:color w:val="808080" w:themeColor="background1" w:themeShade="80"/>
        <w:sz w:val="16"/>
        <w:szCs w:val="16"/>
        <w:lang w:val="sr-Cyrl-RS"/>
      </w:rPr>
      <w:t>СВЕТСКА БАНКА</w:t>
    </w:r>
    <w:r w:rsidRPr="0078266E">
      <w:rPr>
        <w:rFonts w:cstheme="minorHAnsi"/>
        <w:b/>
        <w:smallCaps/>
        <w:color w:val="808080" w:themeColor="background1" w:themeShade="80"/>
        <w:sz w:val="16"/>
        <w:szCs w:val="16"/>
      </w:rPr>
      <w:t xml:space="preserve"> – </w:t>
    </w:r>
    <w:r w:rsidRPr="0078266E">
      <w:rPr>
        <w:rFonts w:cstheme="minorHAnsi"/>
        <w:b/>
        <w:smallCaps/>
        <w:color w:val="808080" w:themeColor="background1" w:themeShade="80"/>
        <w:sz w:val="16"/>
        <w:szCs w:val="16"/>
        <w:lang w:val="sr-Cyrl-RS"/>
      </w:rPr>
      <w:t>ПЛАН ОБАВЕЗА НА ПОЉУ ЖИВОТНЕ СРЕДИНЕ И СОЦИЈАЛНИХ ПИТАЊА (</w:t>
    </w:r>
    <w:r w:rsidRPr="0078266E">
      <w:rPr>
        <w:rFonts w:cstheme="minorHAnsi"/>
        <w:b/>
        <w:smallCaps/>
        <w:color w:val="808080" w:themeColor="background1" w:themeShade="80"/>
        <w:sz w:val="16"/>
        <w:szCs w:val="16"/>
        <w:lang w:val="en-GB"/>
      </w:rPr>
      <w:t xml:space="preserve">ESCP) </w:t>
    </w:r>
    <w:r w:rsidRPr="0078266E">
      <w:rPr>
        <w:rFonts w:cstheme="minorHAnsi"/>
        <w:b/>
        <w:smallCaps/>
        <w:color w:val="808080" w:themeColor="background1" w:themeShade="80"/>
        <w:sz w:val="16"/>
        <w:szCs w:val="16"/>
        <w:lang w:val="sr-Cyrl-RS"/>
      </w:rPr>
      <w:t>ЗА ПРОЈЕКТЕ ХИТНОГ РЕАГОВАЊА НА КОВИД-19</w:t>
    </w:r>
  </w:p>
  <w:p w14:paraId="59A94006" w14:textId="77777777" w:rsidR="00371336" w:rsidRPr="00371336" w:rsidRDefault="00371336" w:rsidP="00371336">
    <w:pPr>
      <w:pStyle w:val="Header"/>
      <w:rPr>
        <w:rFonts w:cstheme="minorHAnsi"/>
        <w:b/>
        <w:smallCaps/>
        <w:color w:val="808080" w:themeColor="background1" w:themeShade="80"/>
        <w:sz w:val="8"/>
        <w:szCs w:val="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91091" w14:textId="338F6A9B" w:rsidR="00DD2CC1" w:rsidRDefault="00DD2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854"/>
    <w:multiLevelType w:val="multilevel"/>
    <w:tmpl w:val="F2843FEA"/>
    <w:lvl w:ilvl="0">
      <w:start w:val="1"/>
      <w:numFmt w:val="lowerLetter"/>
      <w:lvlText w:val="%1."/>
      <w:lvlJc w:val="left"/>
      <w:pPr>
        <w:ind w:left="1710" w:hanging="360"/>
      </w:pPr>
      <w:rPr>
        <w:rFonts w:eastAsia="Times New Roman" w:hint="default"/>
      </w:rPr>
    </w:lvl>
    <w:lvl w:ilvl="1">
      <w:start w:val="1"/>
      <w:numFmt w:val="lowerLetter"/>
      <w:lvlText w:val="%2."/>
      <w:lvlJc w:val="left"/>
      <w:pPr>
        <w:ind w:left="2430" w:hanging="360"/>
      </w:pPr>
    </w:lvl>
    <w:lvl w:ilvl="2">
      <w:start w:val="1"/>
      <w:numFmt w:val="lowerRoman"/>
      <w:lvlText w:val="%3."/>
      <w:lvlJc w:val="right"/>
      <w:pPr>
        <w:ind w:left="3150" w:hanging="180"/>
      </w:pPr>
    </w:lvl>
    <w:lvl w:ilvl="3">
      <w:start w:val="1"/>
      <w:numFmt w:val="decimal"/>
      <w:lvlText w:val="%4."/>
      <w:lvlJc w:val="left"/>
      <w:pPr>
        <w:ind w:left="3870" w:hanging="360"/>
      </w:pPr>
    </w:lvl>
    <w:lvl w:ilvl="4">
      <w:start w:val="1"/>
      <w:numFmt w:val="lowerLetter"/>
      <w:lvlText w:val="%5."/>
      <w:lvlJc w:val="left"/>
      <w:pPr>
        <w:ind w:left="4590" w:hanging="360"/>
      </w:pPr>
    </w:lvl>
    <w:lvl w:ilvl="5">
      <w:start w:val="1"/>
      <w:numFmt w:val="lowerRoman"/>
      <w:lvlText w:val="%6."/>
      <w:lvlJc w:val="right"/>
      <w:pPr>
        <w:ind w:left="5310" w:hanging="180"/>
      </w:pPr>
    </w:lvl>
    <w:lvl w:ilvl="6">
      <w:start w:val="1"/>
      <w:numFmt w:val="decimal"/>
      <w:lvlText w:val="%7."/>
      <w:lvlJc w:val="left"/>
      <w:pPr>
        <w:ind w:left="6030" w:hanging="360"/>
      </w:pPr>
    </w:lvl>
    <w:lvl w:ilvl="7">
      <w:start w:val="1"/>
      <w:numFmt w:val="lowerLetter"/>
      <w:lvlText w:val="%8."/>
      <w:lvlJc w:val="left"/>
      <w:pPr>
        <w:ind w:left="6750" w:hanging="360"/>
      </w:pPr>
    </w:lvl>
    <w:lvl w:ilvl="8">
      <w:start w:val="1"/>
      <w:numFmt w:val="lowerRoman"/>
      <w:lvlText w:val="%9."/>
      <w:lvlJc w:val="right"/>
      <w:pPr>
        <w:ind w:left="7470" w:hanging="180"/>
      </w:pPr>
    </w:lvl>
  </w:abstractNum>
  <w:abstractNum w:abstractNumId="1">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92E07"/>
    <w:multiLevelType w:val="hybridMultilevel"/>
    <w:tmpl w:val="ED706424"/>
    <w:lvl w:ilvl="0" w:tplc="04090001">
      <w:start w:val="1"/>
      <w:numFmt w:val="bullet"/>
      <w:lvlText w:val=""/>
      <w:lvlJc w:val="left"/>
      <w:pPr>
        <w:ind w:left="720" w:hanging="360"/>
      </w:pPr>
      <w:rPr>
        <w:rFonts w:ascii="Symbol" w:hAnsi="Symbol" w:hint="default"/>
      </w:rPr>
    </w:lvl>
    <w:lvl w:ilvl="1" w:tplc="D1DA10B2">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7191A"/>
    <w:multiLevelType w:val="hybridMultilevel"/>
    <w:tmpl w:val="F6F267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C55AD"/>
    <w:multiLevelType w:val="multilevel"/>
    <w:tmpl w:val="539270E8"/>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FE7C3E"/>
    <w:multiLevelType w:val="hybridMultilevel"/>
    <w:tmpl w:val="F2843FEA"/>
    <w:lvl w:ilvl="0" w:tplc="04090019">
      <w:start w:val="1"/>
      <w:numFmt w:val="lowerLetter"/>
      <w:lvlText w:val="%1."/>
      <w:lvlJc w:val="left"/>
      <w:pPr>
        <w:ind w:left="1710" w:hanging="360"/>
      </w:pPr>
      <w:rPr>
        <w:rFonts w:eastAsia="Times New Roman"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044D6D"/>
    <w:multiLevelType w:val="hybridMultilevel"/>
    <w:tmpl w:val="1C6CD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73480"/>
    <w:multiLevelType w:val="hybridMultilevel"/>
    <w:tmpl w:val="0EB0BA92"/>
    <w:lvl w:ilvl="0" w:tplc="EE6074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abstractNumId w:val="24"/>
  </w:num>
  <w:num w:numId="2">
    <w:abstractNumId w:val="10"/>
  </w:num>
  <w:num w:numId="3">
    <w:abstractNumId w:val="25"/>
  </w:num>
  <w:num w:numId="4">
    <w:abstractNumId w:val="23"/>
  </w:num>
  <w:num w:numId="5">
    <w:abstractNumId w:val="18"/>
  </w:num>
  <w:num w:numId="6">
    <w:abstractNumId w:val="27"/>
  </w:num>
  <w:num w:numId="7">
    <w:abstractNumId w:val="5"/>
  </w:num>
  <w:num w:numId="8">
    <w:abstractNumId w:val="12"/>
  </w:num>
  <w:num w:numId="9">
    <w:abstractNumId w:val="4"/>
  </w:num>
  <w:num w:numId="10">
    <w:abstractNumId w:val="20"/>
  </w:num>
  <w:num w:numId="11">
    <w:abstractNumId w:val="11"/>
  </w:num>
  <w:num w:numId="12">
    <w:abstractNumId w:val="9"/>
  </w:num>
  <w:num w:numId="13">
    <w:abstractNumId w:val="8"/>
  </w:num>
  <w:num w:numId="14">
    <w:abstractNumId w:val="22"/>
  </w:num>
  <w:num w:numId="15">
    <w:abstractNumId w:val="19"/>
  </w:num>
  <w:num w:numId="16">
    <w:abstractNumId w:val="26"/>
  </w:num>
  <w:num w:numId="17">
    <w:abstractNumId w:val="16"/>
  </w:num>
  <w:num w:numId="18">
    <w:abstractNumId w:val="1"/>
  </w:num>
  <w:num w:numId="19">
    <w:abstractNumId w:val="13"/>
  </w:num>
  <w:num w:numId="20">
    <w:abstractNumId w:val="7"/>
  </w:num>
  <w:num w:numId="21">
    <w:abstractNumId w:val="3"/>
  </w:num>
  <w:num w:numId="22">
    <w:abstractNumId w:val="15"/>
  </w:num>
  <w:num w:numId="23">
    <w:abstractNumId w:val="6"/>
  </w:num>
  <w:num w:numId="24">
    <w:abstractNumId w:val="14"/>
  </w:num>
  <w:num w:numId="25">
    <w:abstractNumId w:val="17"/>
  </w:num>
  <w:num w:numId="26">
    <w:abstractNumId w:val="2"/>
  </w:num>
  <w:num w:numId="27">
    <w:abstractNumId w:val="2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2"/>
    <w:rsid w:val="00002B96"/>
    <w:rsid w:val="000034DD"/>
    <w:rsid w:val="0001001E"/>
    <w:rsid w:val="00011319"/>
    <w:rsid w:val="00011EBF"/>
    <w:rsid w:val="000124AF"/>
    <w:rsid w:val="000132C7"/>
    <w:rsid w:val="00013663"/>
    <w:rsid w:val="00013A39"/>
    <w:rsid w:val="00015A47"/>
    <w:rsid w:val="00016728"/>
    <w:rsid w:val="0001758C"/>
    <w:rsid w:val="00020567"/>
    <w:rsid w:val="00021A5C"/>
    <w:rsid w:val="00022B03"/>
    <w:rsid w:val="00022CE4"/>
    <w:rsid w:val="00026C40"/>
    <w:rsid w:val="00033CA0"/>
    <w:rsid w:val="000355DE"/>
    <w:rsid w:val="00040743"/>
    <w:rsid w:val="000424EA"/>
    <w:rsid w:val="00044394"/>
    <w:rsid w:val="000464CE"/>
    <w:rsid w:val="000468DE"/>
    <w:rsid w:val="00047A48"/>
    <w:rsid w:val="00050BF8"/>
    <w:rsid w:val="00051F1D"/>
    <w:rsid w:val="00053515"/>
    <w:rsid w:val="00053C5B"/>
    <w:rsid w:val="0005481F"/>
    <w:rsid w:val="00054B18"/>
    <w:rsid w:val="000561A4"/>
    <w:rsid w:val="000564F8"/>
    <w:rsid w:val="000623D2"/>
    <w:rsid w:val="00063A14"/>
    <w:rsid w:val="00066E4A"/>
    <w:rsid w:val="00071F61"/>
    <w:rsid w:val="00074B2A"/>
    <w:rsid w:val="0007774D"/>
    <w:rsid w:val="00077801"/>
    <w:rsid w:val="00080D67"/>
    <w:rsid w:val="00081220"/>
    <w:rsid w:val="00085B32"/>
    <w:rsid w:val="00085C13"/>
    <w:rsid w:val="00086CE5"/>
    <w:rsid w:val="0009509F"/>
    <w:rsid w:val="00095962"/>
    <w:rsid w:val="000A06DE"/>
    <w:rsid w:val="000A0AEB"/>
    <w:rsid w:val="000A14A2"/>
    <w:rsid w:val="000A1E89"/>
    <w:rsid w:val="000A23EC"/>
    <w:rsid w:val="000A3764"/>
    <w:rsid w:val="000A38EB"/>
    <w:rsid w:val="000A419E"/>
    <w:rsid w:val="000A4AEB"/>
    <w:rsid w:val="000A681B"/>
    <w:rsid w:val="000B0093"/>
    <w:rsid w:val="000B10CF"/>
    <w:rsid w:val="000B1513"/>
    <w:rsid w:val="000B31E5"/>
    <w:rsid w:val="000B5A22"/>
    <w:rsid w:val="000B6C87"/>
    <w:rsid w:val="000B7699"/>
    <w:rsid w:val="000C0CEF"/>
    <w:rsid w:val="000C4140"/>
    <w:rsid w:val="000C42E8"/>
    <w:rsid w:val="000C43BF"/>
    <w:rsid w:val="000C478B"/>
    <w:rsid w:val="000C5AB5"/>
    <w:rsid w:val="000D043C"/>
    <w:rsid w:val="000D1A02"/>
    <w:rsid w:val="000D3122"/>
    <w:rsid w:val="000D32EF"/>
    <w:rsid w:val="000D3946"/>
    <w:rsid w:val="000F0B54"/>
    <w:rsid w:val="000F0DFB"/>
    <w:rsid w:val="000F2E62"/>
    <w:rsid w:val="000F7D8D"/>
    <w:rsid w:val="00100272"/>
    <w:rsid w:val="00102036"/>
    <w:rsid w:val="00106028"/>
    <w:rsid w:val="001130FD"/>
    <w:rsid w:val="00122D5A"/>
    <w:rsid w:val="00122EB9"/>
    <w:rsid w:val="0012304A"/>
    <w:rsid w:val="00124378"/>
    <w:rsid w:val="0012625A"/>
    <w:rsid w:val="00126D90"/>
    <w:rsid w:val="00126EB3"/>
    <w:rsid w:val="0013399A"/>
    <w:rsid w:val="00133BC8"/>
    <w:rsid w:val="00134E29"/>
    <w:rsid w:val="0014113C"/>
    <w:rsid w:val="00141C14"/>
    <w:rsid w:val="00142A09"/>
    <w:rsid w:val="00142B1E"/>
    <w:rsid w:val="00143681"/>
    <w:rsid w:val="00144347"/>
    <w:rsid w:val="001465A4"/>
    <w:rsid w:val="00146A78"/>
    <w:rsid w:val="00146AF0"/>
    <w:rsid w:val="00147DBF"/>
    <w:rsid w:val="0015236B"/>
    <w:rsid w:val="00152BEF"/>
    <w:rsid w:val="00152CC3"/>
    <w:rsid w:val="00154D0A"/>
    <w:rsid w:val="00157F35"/>
    <w:rsid w:val="0016519A"/>
    <w:rsid w:val="00165F8C"/>
    <w:rsid w:val="001677FC"/>
    <w:rsid w:val="00170978"/>
    <w:rsid w:val="00170A10"/>
    <w:rsid w:val="001722BA"/>
    <w:rsid w:val="001735CA"/>
    <w:rsid w:val="00173779"/>
    <w:rsid w:val="0017533F"/>
    <w:rsid w:val="00175BD5"/>
    <w:rsid w:val="00177A87"/>
    <w:rsid w:val="00180640"/>
    <w:rsid w:val="00181C52"/>
    <w:rsid w:val="00181CF7"/>
    <w:rsid w:val="00184B30"/>
    <w:rsid w:val="001878F9"/>
    <w:rsid w:val="001916A5"/>
    <w:rsid w:val="001918C7"/>
    <w:rsid w:val="00191C0D"/>
    <w:rsid w:val="00192D73"/>
    <w:rsid w:val="00197015"/>
    <w:rsid w:val="00197E5B"/>
    <w:rsid w:val="001A1091"/>
    <w:rsid w:val="001A1149"/>
    <w:rsid w:val="001A44BB"/>
    <w:rsid w:val="001A7BD5"/>
    <w:rsid w:val="001B244C"/>
    <w:rsid w:val="001B3AC6"/>
    <w:rsid w:val="001B452C"/>
    <w:rsid w:val="001B5562"/>
    <w:rsid w:val="001C20B3"/>
    <w:rsid w:val="001C410B"/>
    <w:rsid w:val="001C58F7"/>
    <w:rsid w:val="001C7CCF"/>
    <w:rsid w:val="001D13EB"/>
    <w:rsid w:val="001D2432"/>
    <w:rsid w:val="001D2466"/>
    <w:rsid w:val="001D4DED"/>
    <w:rsid w:val="001D4EE0"/>
    <w:rsid w:val="001D672E"/>
    <w:rsid w:val="001D78A8"/>
    <w:rsid w:val="001E2848"/>
    <w:rsid w:val="001E72D4"/>
    <w:rsid w:val="001F05A7"/>
    <w:rsid w:val="001F1A01"/>
    <w:rsid w:val="001F331F"/>
    <w:rsid w:val="001F3344"/>
    <w:rsid w:val="001F4109"/>
    <w:rsid w:val="001F58D6"/>
    <w:rsid w:val="002000B2"/>
    <w:rsid w:val="002034B8"/>
    <w:rsid w:val="002034F1"/>
    <w:rsid w:val="0021350F"/>
    <w:rsid w:val="002201D1"/>
    <w:rsid w:val="002216CD"/>
    <w:rsid w:val="00223773"/>
    <w:rsid w:val="00230427"/>
    <w:rsid w:val="002331B9"/>
    <w:rsid w:val="00253388"/>
    <w:rsid w:val="00256E8D"/>
    <w:rsid w:val="00262D32"/>
    <w:rsid w:val="00263DCA"/>
    <w:rsid w:val="002645DA"/>
    <w:rsid w:val="00266460"/>
    <w:rsid w:val="0027280B"/>
    <w:rsid w:val="00275063"/>
    <w:rsid w:val="00276158"/>
    <w:rsid w:val="00276417"/>
    <w:rsid w:val="002823E1"/>
    <w:rsid w:val="0028354D"/>
    <w:rsid w:val="00283982"/>
    <w:rsid w:val="00284ABA"/>
    <w:rsid w:val="00287703"/>
    <w:rsid w:val="002900CC"/>
    <w:rsid w:val="00290945"/>
    <w:rsid w:val="0029168A"/>
    <w:rsid w:val="0029223F"/>
    <w:rsid w:val="0029535A"/>
    <w:rsid w:val="0029679B"/>
    <w:rsid w:val="00297AB6"/>
    <w:rsid w:val="002A07CC"/>
    <w:rsid w:val="002A0C04"/>
    <w:rsid w:val="002A28B2"/>
    <w:rsid w:val="002A3525"/>
    <w:rsid w:val="002A67AD"/>
    <w:rsid w:val="002A742D"/>
    <w:rsid w:val="002A7FCC"/>
    <w:rsid w:val="002B04DB"/>
    <w:rsid w:val="002B09F3"/>
    <w:rsid w:val="002B7800"/>
    <w:rsid w:val="002C0972"/>
    <w:rsid w:val="002C0C63"/>
    <w:rsid w:val="002C4801"/>
    <w:rsid w:val="002C5A09"/>
    <w:rsid w:val="002C7822"/>
    <w:rsid w:val="002C7ADE"/>
    <w:rsid w:val="002D2515"/>
    <w:rsid w:val="002D36AF"/>
    <w:rsid w:val="002D3B2F"/>
    <w:rsid w:val="002D4AA2"/>
    <w:rsid w:val="002D5209"/>
    <w:rsid w:val="002D5E3A"/>
    <w:rsid w:val="002D7B18"/>
    <w:rsid w:val="002E0A23"/>
    <w:rsid w:val="002E1042"/>
    <w:rsid w:val="002E45B4"/>
    <w:rsid w:val="002E55FE"/>
    <w:rsid w:val="002E7419"/>
    <w:rsid w:val="002F0B51"/>
    <w:rsid w:val="002F3226"/>
    <w:rsid w:val="002F64CF"/>
    <w:rsid w:val="00301D4F"/>
    <w:rsid w:val="00304827"/>
    <w:rsid w:val="00305BCF"/>
    <w:rsid w:val="00305E49"/>
    <w:rsid w:val="003108D8"/>
    <w:rsid w:val="00310A80"/>
    <w:rsid w:val="00310FF7"/>
    <w:rsid w:val="00311B20"/>
    <w:rsid w:val="00312CC6"/>
    <w:rsid w:val="00316C77"/>
    <w:rsid w:val="00316E2F"/>
    <w:rsid w:val="003259FB"/>
    <w:rsid w:val="00325A2C"/>
    <w:rsid w:val="003261BF"/>
    <w:rsid w:val="003317AB"/>
    <w:rsid w:val="00331885"/>
    <w:rsid w:val="00332FCC"/>
    <w:rsid w:val="003363D4"/>
    <w:rsid w:val="003434AC"/>
    <w:rsid w:val="00345015"/>
    <w:rsid w:val="003457F2"/>
    <w:rsid w:val="00347F05"/>
    <w:rsid w:val="00352D91"/>
    <w:rsid w:val="00354AD9"/>
    <w:rsid w:val="00356319"/>
    <w:rsid w:val="003570EB"/>
    <w:rsid w:val="003600CB"/>
    <w:rsid w:val="0036097D"/>
    <w:rsid w:val="0036211A"/>
    <w:rsid w:val="00363159"/>
    <w:rsid w:val="00365763"/>
    <w:rsid w:val="00367603"/>
    <w:rsid w:val="00367F16"/>
    <w:rsid w:val="00371336"/>
    <w:rsid w:val="0037259C"/>
    <w:rsid w:val="0037539E"/>
    <w:rsid w:val="00375BD0"/>
    <w:rsid w:val="00377019"/>
    <w:rsid w:val="00381EDF"/>
    <w:rsid w:val="003831F4"/>
    <w:rsid w:val="00383C2C"/>
    <w:rsid w:val="003851E2"/>
    <w:rsid w:val="0038605C"/>
    <w:rsid w:val="00395EBE"/>
    <w:rsid w:val="003974D6"/>
    <w:rsid w:val="003A63A7"/>
    <w:rsid w:val="003B5E96"/>
    <w:rsid w:val="003B6921"/>
    <w:rsid w:val="003C1D4C"/>
    <w:rsid w:val="003C2002"/>
    <w:rsid w:val="003C6AC7"/>
    <w:rsid w:val="003E1D7B"/>
    <w:rsid w:val="003E1F49"/>
    <w:rsid w:val="003E234A"/>
    <w:rsid w:val="003E317E"/>
    <w:rsid w:val="003E41FE"/>
    <w:rsid w:val="003E6028"/>
    <w:rsid w:val="003E6299"/>
    <w:rsid w:val="003F51D0"/>
    <w:rsid w:val="003F7918"/>
    <w:rsid w:val="00402C16"/>
    <w:rsid w:val="00403D18"/>
    <w:rsid w:val="00404812"/>
    <w:rsid w:val="004075D2"/>
    <w:rsid w:val="004106A7"/>
    <w:rsid w:val="004137A2"/>
    <w:rsid w:val="0041418E"/>
    <w:rsid w:val="004173F6"/>
    <w:rsid w:val="00417D70"/>
    <w:rsid w:val="0042015D"/>
    <w:rsid w:val="00421ECE"/>
    <w:rsid w:val="004222F1"/>
    <w:rsid w:val="00422BDD"/>
    <w:rsid w:val="00423785"/>
    <w:rsid w:val="00423CAC"/>
    <w:rsid w:val="00425CD3"/>
    <w:rsid w:val="00427FEE"/>
    <w:rsid w:val="0043065D"/>
    <w:rsid w:val="00433B26"/>
    <w:rsid w:val="004364A9"/>
    <w:rsid w:val="0043772E"/>
    <w:rsid w:val="00437F5D"/>
    <w:rsid w:val="004418A3"/>
    <w:rsid w:val="004424F5"/>
    <w:rsid w:val="004472E6"/>
    <w:rsid w:val="0045080E"/>
    <w:rsid w:val="00451B4A"/>
    <w:rsid w:val="00457AF1"/>
    <w:rsid w:val="0046130D"/>
    <w:rsid w:val="004626CF"/>
    <w:rsid w:val="0046390A"/>
    <w:rsid w:val="004650CC"/>
    <w:rsid w:val="0046582A"/>
    <w:rsid w:val="00470040"/>
    <w:rsid w:val="00471255"/>
    <w:rsid w:val="004728A0"/>
    <w:rsid w:val="00474519"/>
    <w:rsid w:val="00474BE5"/>
    <w:rsid w:val="0047550F"/>
    <w:rsid w:val="00475D41"/>
    <w:rsid w:val="00475DE9"/>
    <w:rsid w:val="004807FA"/>
    <w:rsid w:val="00481C37"/>
    <w:rsid w:val="00482534"/>
    <w:rsid w:val="00484356"/>
    <w:rsid w:val="00484A88"/>
    <w:rsid w:val="00484FA4"/>
    <w:rsid w:val="004904F8"/>
    <w:rsid w:val="004909BA"/>
    <w:rsid w:val="00491701"/>
    <w:rsid w:val="00491E1E"/>
    <w:rsid w:val="00491EA6"/>
    <w:rsid w:val="00492173"/>
    <w:rsid w:val="00493FB9"/>
    <w:rsid w:val="00495A50"/>
    <w:rsid w:val="00496B54"/>
    <w:rsid w:val="004973A4"/>
    <w:rsid w:val="00497F9A"/>
    <w:rsid w:val="004A5380"/>
    <w:rsid w:val="004A7BDE"/>
    <w:rsid w:val="004A7DCB"/>
    <w:rsid w:val="004B006E"/>
    <w:rsid w:val="004B0599"/>
    <w:rsid w:val="004B21F9"/>
    <w:rsid w:val="004B5968"/>
    <w:rsid w:val="004B5B25"/>
    <w:rsid w:val="004C681B"/>
    <w:rsid w:val="004D3A88"/>
    <w:rsid w:val="004D4040"/>
    <w:rsid w:val="004D60D3"/>
    <w:rsid w:val="004D65A4"/>
    <w:rsid w:val="004D759F"/>
    <w:rsid w:val="004D7C69"/>
    <w:rsid w:val="004E13CF"/>
    <w:rsid w:val="004E4939"/>
    <w:rsid w:val="004E51B0"/>
    <w:rsid w:val="004E51F4"/>
    <w:rsid w:val="004E5289"/>
    <w:rsid w:val="004E68EF"/>
    <w:rsid w:val="004E6E6B"/>
    <w:rsid w:val="004E7CEA"/>
    <w:rsid w:val="004F1184"/>
    <w:rsid w:val="004F1198"/>
    <w:rsid w:val="004F56F7"/>
    <w:rsid w:val="004F5C4E"/>
    <w:rsid w:val="00501AA7"/>
    <w:rsid w:val="00502173"/>
    <w:rsid w:val="00503F93"/>
    <w:rsid w:val="00506C68"/>
    <w:rsid w:val="00514C02"/>
    <w:rsid w:val="005150C9"/>
    <w:rsid w:val="00524D42"/>
    <w:rsid w:val="00525DFB"/>
    <w:rsid w:val="0053072C"/>
    <w:rsid w:val="00531A0E"/>
    <w:rsid w:val="0053650B"/>
    <w:rsid w:val="00536689"/>
    <w:rsid w:val="00541AD5"/>
    <w:rsid w:val="00545C67"/>
    <w:rsid w:val="0055127F"/>
    <w:rsid w:val="00551C6E"/>
    <w:rsid w:val="00554415"/>
    <w:rsid w:val="005557DB"/>
    <w:rsid w:val="00556C53"/>
    <w:rsid w:val="00560102"/>
    <w:rsid w:val="00560284"/>
    <w:rsid w:val="00561847"/>
    <w:rsid w:val="00561AFB"/>
    <w:rsid w:val="00562414"/>
    <w:rsid w:val="00563557"/>
    <w:rsid w:val="00566EC1"/>
    <w:rsid w:val="00570B1A"/>
    <w:rsid w:val="00572F61"/>
    <w:rsid w:val="00574D1C"/>
    <w:rsid w:val="00574EAB"/>
    <w:rsid w:val="00575258"/>
    <w:rsid w:val="00576631"/>
    <w:rsid w:val="00576B69"/>
    <w:rsid w:val="005866FA"/>
    <w:rsid w:val="005879CC"/>
    <w:rsid w:val="00593776"/>
    <w:rsid w:val="00593C8E"/>
    <w:rsid w:val="00594521"/>
    <w:rsid w:val="00597496"/>
    <w:rsid w:val="005A11DD"/>
    <w:rsid w:val="005A79B2"/>
    <w:rsid w:val="005B4E74"/>
    <w:rsid w:val="005B54EF"/>
    <w:rsid w:val="005B5951"/>
    <w:rsid w:val="005C40FB"/>
    <w:rsid w:val="005C4926"/>
    <w:rsid w:val="005C5F8B"/>
    <w:rsid w:val="005D09FE"/>
    <w:rsid w:val="005D394E"/>
    <w:rsid w:val="005D3BA6"/>
    <w:rsid w:val="005D41CB"/>
    <w:rsid w:val="005D45E6"/>
    <w:rsid w:val="005D4B65"/>
    <w:rsid w:val="005D6C02"/>
    <w:rsid w:val="005E2E4D"/>
    <w:rsid w:val="005E3DC1"/>
    <w:rsid w:val="005F13A2"/>
    <w:rsid w:val="005F1AFA"/>
    <w:rsid w:val="005F1B0E"/>
    <w:rsid w:val="005F5CE4"/>
    <w:rsid w:val="005F6237"/>
    <w:rsid w:val="0060166E"/>
    <w:rsid w:val="00602FE2"/>
    <w:rsid w:val="00606CA7"/>
    <w:rsid w:val="006110F8"/>
    <w:rsid w:val="00612361"/>
    <w:rsid w:val="00613789"/>
    <w:rsid w:val="00614E29"/>
    <w:rsid w:val="006175DC"/>
    <w:rsid w:val="00620639"/>
    <w:rsid w:val="00623DB6"/>
    <w:rsid w:val="00624FCB"/>
    <w:rsid w:val="00625BD8"/>
    <w:rsid w:val="00627DBD"/>
    <w:rsid w:val="00630740"/>
    <w:rsid w:val="00630C76"/>
    <w:rsid w:val="00641B66"/>
    <w:rsid w:val="00642B43"/>
    <w:rsid w:val="006441F9"/>
    <w:rsid w:val="006453B9"/>
    <w:rsid w:val="006477C1"/>
    <w:rsid w:val="00650EEA"/>
    <w:rsid w:val="0065140B"/>
    <w:rsid w:val="00652DC8"/>
    <w:rsid w:val="00655373"/>
    <w:rsid w:val="006557A9"/>
    <w:rsid w:val="00655E8D"/>
    <w:rsid w:val="00662D45"/>
    <w:rsid w:val="00664D08"/>
    <w:rsid w:val="006674D5"/>
    <w:rsid w:val="00670476"/>
    <w:rsid w:val="006738ED"/>
    <w:rsid w:val="00673BC8"/>
    <w:rsid w:val="00674602"/>
    <w:rsid w:val="0067472B"/>
    <w:rsid w:val="00676E7B"/>
    <w:rsid w:val="00676F3F"/>
    <w:rsid w:val="00677B3B"/>
    <w:rsid w:val="00680A32"/>
    <w:rsid w:val="006835E0"/>
    <w:rsid w:val="00685FF9"/>
    <w:rsid w:val="0068618C"/>
    <w:rsid w:val="00686DF7"/>
    <w:rsid w:val="0069027C"/>
    <w:rsid w:val="006915FD"/>
    <w:rsid w:val="00691718"/>
    <w:rsid w:val="00692228"/>
    <w:rsid w:val="006922ED"/>
    <w:rsid w:val="00694763"/>
    <w:rsid w:val="00695F72"/>
    <w:rsid w:val="006964F8"/>
    <w:rsid w:val="006A1206"/>
    <w:rsid w:val="006A58A4"/>
    <w:rsid w:val="006A5DEB"/>
    <w:rsid w:val="006A70E3"/>
    <w:rsid w:val="006B4094"/>
    <w:rsid w:val="006B4A26"/>
    <w:rsid w:val="006C1B99"/>
    <w:rsid w:val="006D16F0"/>
    <w:rsid w:val="006D2168"/>
    <w:rsid w:val="006D31E4"/>
    <w:rsid w:val="006D36CD"/>
    <w:rsid w:val="006D4DDB"/>
    <w:rsid w:val="006D615B"/>
    <w:rsid w:val="006E55EC"/>
    <w:rsid w:val="006E6F40"/>
    <w:rsid w:val="006F0B0A"/>
    <w:rsid w:val="006F0DF5"/>
    <w:rsid w:val="006F3188"/>
    <w:rsid w:val="006F5362"/>
    <w:rsid w:val="00701091"/>
    <w:rsid w:val="00703348"/>
    <w:rsid w:val="0070334F"/>
    <w:rsid w:val="00713BAA"/>
    <w:rsid w:val="00717524"/>
    <w:rsid w:val="0071781B"/>
    <w:rsid w:val="0072141F"/>
    <w:rsid w:val="007218F4"/>
    <w:rsid w:val="00721F4E"/>
    <w:rsid w:val="00732912"/>
    <w:rsid w:val="0073367A"/>
    <w:rsid w:val="0073471D"/>
    <w:rsid w:val="00734F89"/>
    <w:rsid w:val="00735A47"/>
    <w:rsid w:val="0074136F"/>
    <w:rsid w:val="00744980"/>
    <w:rsid w:val="00744A37"/>
    <w:rsid w:val="00747414"/>
    <w:rsid w:val="00747B10"/>
    <w:rsid w:val="00752D7A"/>
    <w:rsid w:val="0075364D"/>
    <w:rsid w:val="00754821"/>
    <w:rsid w:val="007548C5"/>
    <w:rsid w:val="007551F8"/>
    <w:rsid w:val="007569FE"/>
    <w:rsid w:val="00756E4A"/>
    <w:rsid w:val="00757022"/>
    <w:rsid w:val="007572E9"/>
    <w:rsid w:val="007640AF"/>
    <w:rsid w:val="00764868"/>
    <w:rsid w:val="007652D0"/>
    <w:rsid w:val="007678F0"/>
    <w:rsid w:val="007720B6"/>
    <w:rsid w:val="00773A38"/>
    <w:rsid w:val="00777904"/>
    <w:rsid w:val="00777A2D"/>
    <w:rsid w:val="00777D1F"/>
    <w:rsid w:val="00781C28"/>
    <w:rsid w:val="0078266E"/>
    <w:rsid w:val="00782F4A"/>
    <w:rsid w:val="0078416F"/>
    <w:rsid w:val="00784922"/>
    <w:rsid w:val="00784976"/>
    <w:rsid w:val="00784B19"/>
    <w:rsid w:val="00791A34"/>
    <w:rsid w:val="00794511"/>
    <w:rsid w:val="00794EB5"/>
    <w:rsid w:val="00797A6E"/>
    <w:rsid w:val="007A19C0"/>
    <w:rsid w:val="007A2864"/>
    <w:rsid w:val="007A33BB"/>
    <w:rsid w:val="007A5C66"/>
    <w:rsid w:val="007A706C"/>
    <w:rsid w:val="007B070B"/>
    <w:rsid w:val="007B4E9E"/>
    <w:rsid w:val="007B5EFA"/>
    <w:rsid w:val="007C15DA"/>
    <w:rsid w:val="007C1B7C"/>
    <w:rsid w:val="007C1C1F"/>
    <w:rsid w:val="007C4BE8"/>
    <w:rsid w:val="007C5D74"/>
    <w:rsid w:val="007C7248"/>
    <w:rsid w:val="007D06D0"/>
    <w:rsid w:val="007D1B44"/>
    <w:rsid w:val="007D6A51"/>
    <w:rsid w:val="007D7377"/>
    <w:rsid w:val="007E135B"/>
    <w:rsid w:val="007E260E"/>
    <w:rsid w:val="007E2709"/>
    <w:rsid w:val="007E2DAB"/>
    <w:rsid w:val="007E4F9D"/>
    <w:rsid w:val="007E61EB"/>
    <w:rsid w:val="007F118F"/>
    <w:rsid w:val="007F151D"/>
    <w:rsid w:val="007F30ED"/>
    <w:rsid w:val="007F3F31"/>
    <w:rsid w:val="00801481"/>
    <w:rsid w:val="00801E64"/>
    <w:rsid w:val="00802D93"/>
    <w:rsid w:val="0080354A"/>
    <w:rsid w:val="00804596"/>
    <w:rsid w:val="00805C69"/>
    <w:rsid w:val="00806012"/>
    <w:rsid w:val="008109FB"/>
    <w:rsid w:val="00813DB0"/>
    <w:rsid w:val="00821252"/>
    <w:rsid w:val="00822EA7"/>
    <w:rsid w:val="00823FFE"/>
    <w:rsid w:val="00824268"/>
    <w:rsid w:val="00824684"/>
    <w:rsid w:val="008249BF"/>
    <w:rsid w:val="008256E0"/>
    <w:rsid w:val="00825B44"/>
    <w:rsid w:val="00827E50"/>
    <w:rsid w:val="00834782"/>
    <w:rsid w:val="00835935"/>
    <w:rsid w:val="00836C2C"/>
    <w:rsid w:val="0084174A"/>
    <w:rsid w:val="008564A6"/>
    <w:rsid w:val="00856BDC"/>
    <w:rsid w:val="008573A0"/>
    <w:rsid w:val="0086245D"/>
    <w:rsid w:val="00863160"/>
    <w:rsid w:val="00865A6D"/>
    <w:rsid w:val="00870788"/>
    <w:rsid w:val="00874AE5"/>
    <w:rsid w:val="00885059"/>
    <w:rsid w:val="00886479"/>
    <w:rsid w:val="00891841"/>
    <w:rsid w:val="00891DF6"/>
    <w:rsid w:val="0089240F"/>
    <w:rsid w:val="00892636"/>
    <w:rsid w:val="00896A71"/>
    <w:rsid w:val="00896CE4"/>
    <w:rsid w:val="00897826"/>
    <w:rsid w:val="008A40B6"/>
    <w:rsid w:val="008A6051"/>
    <w:rsid w:val="008A6ABF"/>
    <w:rsid w:val="008A7977"/>
    <w:rsid w:val="008B3DA5"/>
    <w:rsid w:val="008C061B"/>
    <w:rsid w:val="008C1CFB"/>
    <w:rsid w:val="008C2C65"/>
    <w:rsid w:val="008C58A2"/>
    <w:rsid w:val="008C5C8B"/>
    <w:rsid w:val="008D1770"/>
    <w:rsid w:val="008D1A64"/>
    <w:rsid w:val="008D307A"/>
    <w:rsid w:val="008D73AE"/>
    <w:rsid w:val="008E1414"/>
    <w:rsid w:val="008E4690"/>
    <w:rsid w:val="008E521F"/>
    <w:rsid w:val="008E535C"/>
    <w:rsid w:val="008E7548"/>
    <w:rsid w:val="008F1333"/>
    <w:rsid w:val="008F1512"/>
    <w:rsid w:val="008F153C"/>
    <w:rsid w:val="008F40D7"/>
    <w:rsid w:val="008F4879"/>
    <w:rsid w:val="008F5252"/>
    <w:rsid w:val="008F561B"/>
    <w:rsid w:val="009003C4"/>
    <w:rsid w:val="00906EB4"/>
    <w:rsid w:val="00907ECD"/>
    <w:rsid w:val="00910DFA"/>
    <w:rsid w:val="0091111E"/>
    <w:rsid w:val="0091289B"/>
    <w:rsid w:val="00914AFC"/>
    <w:rsid w:val="00915139"/>
    <w:rsid w:val="00915D58"/>
    <w:rsid w:val="00915F10"/>
    <w:rsid w:val="00916A95"/>
    <w:rsid w:val="00922A94"/>
    <w:rsid w:val="00924785"/>
    <w:rsid w:val="00927D8B"/>
    <w:rsid w:val="009353DD"/>
    <w:rsid w:val="00936331"/>
    <w:rsid w:val="00940169"/>
    <w:rsid w:val="009402D5"/>
    <w:rsid w:val="009428BB"/>
    <w:rsid w:val="00945B1A"/>
    <w:rsid w:val="0094668F"/>
    <w:rsid w:val="00947023"/>
    <w:rsid w:val="00947BD1"/>
    <w:rsid w:val="00950FFA"/>
    <w:rsid w:val="00953C17"/>
    <w:rsid w:val="0095479C"/>
    <w:rsid w:val="00956C8A"/>
    <w:rsid w:val="009575BF"/>
    <w:rsid w:val="00966758"/>
    <w:rsid w:val="00975431"/>
    <w:rsid w:val="009772D5"/>
    <w:rsid w:val="00977F66"/>
    <w:rsid w:val="00981764"/>
    <w:rsid w:val="00982AB9"/>
    <w:rsid w:val="00985219"/>
    <w:rsid w:val="00987C2B"/>
    <w:rsid w:val="00990AD6"/>
    <w:rsid w:val="009925CC"/>
    <w:rsid w:val="009A005C"/>
    <w:rsid w:val="009A101B"/>
    <w:rsid w:val="009A26FC"/>
    <w:rsid w:val="009B4243"/>
    <w:rsid w:val="009B570F"/>
    <w:rsid w:val="009C49E1"/>
    <w:rsid w:val="009C67BB"/>
    <w:rsid w:val="009C7C9E"/>
    <w:rsid w:val="009D2712"/>
    <w:rsid w:val="009D55D6"/>
    <w:rsid w:val="009D603C"/>
    <w:rsid w:val="009D604F"/>
    <w:rsid w:val="009D7590"/>
    <w:rsid w:val="009D7E77"/>
    <w:rsid w:val="009E0AF7"/>
    <w:rsid w:val="009E130C"/>
    <w:rsid w:val="009E2861"/>
    <w:rsid w:val="009E3F86"/>
    <w:rsid w:val="009E62F1"/>
    <w:rsid w:val="009F0105"/>
    <w:rsid w:val="009F425A"/>
    <w:rsid w:val="009F50E9"/>
    <w:rsid w:val="00A01978"/>
    <w:rsid w:val="00A026F5"/>
    <w:rsid w:val="00A027A6"/>
    <w:rsid w:val="00A04FE4"/>
    <w:rsid w:val="00A0569D"/>
    <w:rsid w:val="00A05906"/>
    <w:rsid w:val="00A07D29"/>
    <w:rsid w:val="00A07D3E"/>
    <w:rsid w:val="00A124AF"/>
    <w:rsid w:val="00A12E16"/>
    <w:rsid w:val="00A16ADC"/>
    <w:rsid w:val="00A171EE"/>
    <w:rsid w:val="00A178E9"/>
    <w:rsid w:val="00A211AF"/>
    <w:rsid w:val="00A25D44"/>
    <w:rsid w:val="00A30A1C"/>
    <w:rsid w:val="00A31E0E"/>
    <w:rsid w:val="00A32676"/>
    <w:rsid w:val="00A33380"/>
    <w:rsid w:val="00A43131"/>
    <w:rsid w:val="00A468E1"/>
    <w:rsid w:val="00A47F59"/>
    <w:rsid w:val="00A508CC"/>
    <w:rsid w:val="00A519D9"/>
    <w:rsid w:val="00A54559"/>
    <w:rsid w:val="00A5770C"/>
    <w:rsid w:val="00A614CC"/>
    <w:rsid w:val="00A647A3"/>
    <w:rsid w:val="00A71515"/>
    <w:rsid w:val="00A76264"/>
    <w:rsid w:val="00A77FE1"/>
    <w:rsid w:val="00A839A3"/>
    <w:rsid w:val="00A84233"/>
    <w:rsid w:val="00A84A3B"/>
    <w:rsid w:val="00A84C0F"/>
    <w:rsid w:val="00A911EE"/>
    <w:rsid w:val="00A947B2"/>
    <w:rsid w:val="00A96824"/>
    <w:rsid w:val="00A96974"/>
    <w:rsid w:val="00A97D95"/>
    <w:rsid w:val="00AA0629"/>
    <w:rsid w:val="00AA2A6B"/>
    <w:rsid w:val="00AA33D8"/>
    <w:rsid w:val="00AA38EF"/>
    <w:rsid w:val="00AB4F98"/>
    <w:rsid w:val="00AB6811"/>
    <w:rsid w:val="00AB6E43"/>
    <w:rsid w:val="00AB6EB7"/>
    <w:rsid w:val="00AB7057"/>
    <w:rsid w:val="00AB7B7F"/>
    <w:rsid w:val="00AC12DE"/>
    <w:rsid w:val="00AC1B39"/>
    <w:rsid w:val="00AC3288"/>
    <w:rsid w:val="00AC7264"/>
    <w:rsid w:val="00AC72FF"/>
    <w:rsid w:val="00AC7315"/>
    <w:rsid w:val="00AD0A1F"/>
    <w:rsid w:val="00AD1382"/>
    <w:rsid w:val="00AD3FD8"/>
    <w:rsid w:val="00AD53B9"/>
    <w:rsid w:val="00AD7131"/>
    <w:rsid w:val="00AE0947"/>
    <w:rsid w:val="00AE3A22"/>
    <w:rsid w:val="00AE60CA"/>
    <w:rsid w:val="00AE76D5"/>
    <w:rsid w:val="00AF1482"/>
    <w:rsid w:val="00AF20FA"/>
    <w:rsid w:val="00AF3D21"/>
    <w:rsid w:val="00AF47D7"/>
    <w:rsid w:val="00AF541F"/>
    <w:rsid w:val="00AF61CF"/>
    <w:rsid w:val="00AF72D8"/>
    <w:rsid w:val="00B0144B"/>
    <w:rsid w:val="00B0173D"/>
    <w:rsid w:val="00B04EC4"/>
    <w:rsid w:val="00B11FCA"/>
    <w:rsid w:val="00B1205A"/>
    <w:rsid w:val="00B1244E"/>
    <w:rsid w:val="00B12A60"/>
    <w:rsid w:val="00B1491E"/>
    <w:rsid w:val="00B14A9D"/>
    <w:rsid w:val="00B16C76"/>
    <w:rsid w:val="00B1712E"/>
    <w:rsid w:val="00B174B9"/>
    <w:rsid w:val="00B20EA2"/>
    <w:rsid w:val="00B31EF9"/>
    <w:rsid w:val="00B32660"/>
    <w:rsid w:val="00B35931"/>
    <w:rsid w:val="00B35BDD"/>
    <w:rsid w:val="00B42C92"/>
    <w:rsid w:val="00B45926"/>
    <w:rsid w:val="00B46ABB"/>
    <w:rsid w:val="00B46E00"/>
    <w:rsid w:val="00B50AE3"/>
    <w:rsid w:val="00B51400"/>
    <w:rsid w:val="00B532EE"/>
    <w:rsid w:val="00B54D83"/>
    <w:rsid w:val="00B55E0A"/>
    <w:rsid w:val="00B56AD4"/>
    <w:rsid w:val="00B61586"/>
    <w:rsid w:val="00B61C95"/>
    <w:rsid w:val="00B650F0"/>
    <w:rsid w:val="00B7260A"/>
    <w:rsid w:val="00B75815"/>
    <w:rsid w:val="00B76B88"/>
    <w:rsid w:val="00B773BD"/>
    <w:rsid w:val="00B77DCA"/>
    <w:rsid w:val="00B80C04"/>
    <w:rsid w:val="00B83090"/>
    <w:rsid w:val="00B83F41"/>
    <w:rsid w:val="00B84EE4"/>
    <w:rsid w:val="00B85E89"/>
    <w:rsid w:val="00B9029E"/>
    <w:rsid w:val="00B90BC9"/>
    <w:rsid w:val="00B91B2E"/>
    <w:rsid w:val="00B927CF"/>
    <w:rsid w:val="00B94B5D"/>
    <w:rsid w:val="00B97114"/>
    <w:rsid w:val="00BA0D3E"/>
    <w:rsid w:val="00BA29B7"/>
    <w:rsid w:val="00BA43DE"/>
    <w:rsid w:val="00BA481A"/>
    <w:rsid w:val="00BA5648"/>
    <w:rsid w:val="00BA75B3"/>
    <w:rsid w:val="00BB2811"/>
    <w:rsid w:val="00BB4C26"/>
    <w:rsid w:val="00BB62B6"/>
    <w:rsid w:val="00BB77CC"/>
    <w:rsid w:val="00BC0427"/>
    <w:rsid w:val="00BC1463"/>
    <w:rsid w:val="00BC33AC"/>
    <w:rsid w:val="00BC3EC1"/>
    <w:rsid w:val="00BC6863"/>
    <w:rsid w:val="00BC6A02"/>
    <w:rsid w:val="00BC6ED8"/>
    <w:rsid w:val="00BC711A"/>
    <w:rsid w:val="00BC781D"/>
    <w:rsid w:val="00BD1954"/>
    <w:rsid w:val="00BD651D"/>
    <w:rsid w:val="00BD7D19"/>
    <w:rsid w:val="00BE3F00"/>
    <w:rsid w:val="00BF1C1A"/>
    <w:rsid w:val="00BF1DF5"/>
    <w:rsid w:val="00BF44BA"/>
    <w:rsid w:val="00C01A62"/>
    <w:rsid w:val="00C022B9"/>
    <w:rsid w:val="00C04F98"/>
    <w:rsid w:val="00C06379"/>
    <w:rsid w:val="00C06D76"/>
    <w:rsid w:val="00C070FD"/>
    <w:rsid w:val="00C0799A"/>
    <w:rsid w:val="00C103A2"/>
    <w:rsid w:val="00C14AF4"/>
    <w:rsid w:val="00C16256"/>
    <w:rsid w:val="00C16504"/>
    <w:rsid w:val="00C16825"/>
    <w:rsid w:val="00C17ED8"/>
    <w:rsid w:val="00C20147"/>
    <w:rsid w:val="00C201B0"/>
    <w:rsid w:val="00C2489F"/>
    <w:rsid w:val="00C25464"/>
    <w:rsid w:val="00C25561"/>
    <w:rsid w:val="00C26009"/>
    <w:rsid w:val="00C30900"/>
    <w:rsid w:val="00C344D2"/>
    <w:rsid w:val="00C35BA3"/>
    <w:rsid w:val="00C35CAD"/>
    <w:rsid w:val="00C42698"/>
    <w:rsid w:val="00C43FF1"/>
    <w:rsid w:val="00C44CFE"/>
    <w:rsid w:val="00C46C0A"/>
    <w:rsid w:val="00C47F87"/>
    <w:rsid w:val="00C50778"/>
    <w:rsid w:val="00C51724"/>
    <w:rsid w:val="00C52898"/>
    <w:rsid w:val="00C549B1"/>
    <w:rsid w:val="00C5568E"/>
    <w:rsid w:val="00C57AC0"/>
    <w:rsid w:val="00C60109"/>
    <w:rsid w:val="00C61665"/>
    <w:rsid w:val="00C62B50"/>
    <w:rsid w:val="00C63CF6"/>
    <w:rsid w:val="00C64E2A"/>
    <w:rsid w:val="00C6704F"/>
    <w:rsid w:val="00C70145"/>
    <w:rsid w:val="00C7409A"/>
    <w:rsid w:val="00C80F67"/>
    <w:rsid w:val="00C8568A"/>
    <w:rsid w:val="00C90384"/>
    <w:rsid w:val="00C90F2F"/>
    <w:rsid w:val="00C91394"/>
    <w:rsid w:val="00C93C17"/>
    <w:rsid w:val="00C967C1"/>
    <w:rsid w:val="00C97BC0"/>
    <w:rsid w:val="00CB6006"/>
    <w:rsid w:val="00CB6CC8"/>
    <w:rsid w:val="00CC0AFD"/>
    <w:rsid w:val="00CC16F4"/>
    <w:rsid w:val="00CC2EF2"/>
    <w:rsid w:val="00CC35E3"/>
    <w:rsid w:val="00CC3A9C"/>
    <w:rsid w:val="00CC6762"/>
    <w:rsid w:val="00CD38D2"/>
    <w:rsid w:val="00CD503C"/>
    <w:rsid w:val="00CE1661"/>
    <w:rsid w:val="00CE4768"/>
    <w:rsid w:val="00CE632A"/>
    <w:rsid w:val="00CF3D76"/>
    <w:rsid w:val="00D00DC7"/>
    <w:rsid w:val="00D04179"/>
    <w:rsid w:val="00D06155"/>
    <w:rsid w:val="00D07F39"/>
    <w:rsid w:val="00D1130F"/>
    <w:rsid w:val="00D11ACB"/>
    <w:rsid w:val="00D14D9F"/>
    <w:rsid w:val="00D16B0C"/>
    <w:rsid w:val="00D17EE2"/>
    <w:rsid w:val="00D216D4"/>
    <w:rsid w:val="00D21A00"/>
    <w:rsid w:val="00D2331C"/>
    <w:rsid w:val="00D2513B"/>
    <w:rsid w:val="00D3010E"/>
    <w:rsid w:val="00D30D99"/>
    <w:rsid w:val="00D36FC9"/>
    <w:rsid w:val="00D42B22"/>
    <w:rsid w:val="00D457EF"/>
    <w:rsid w:val="00D50750"/>
    <w:rsid w:val="00D51649"/>
    <w:rsid w:val="00D536BB"/>
    <w:rsid w:val="00D55C6B"/>
    <w:rsid w:val="00D56321"/>
    <w:rsid w:val="00D567C9"/>
    <w:rsid w:val="00D5750B"/>
    <w:rsid w:val="00D6797C"/>
    <w:rsid w:val="00D67AF6"/>
    <w:rsid w:val="00D7098F"/>
    <w:rsid w:val="00D72118"/>
    <w:rsid w:val="00D729F8"/>
    <w:rsid w:val="00D74C72"/>
    <w:rsid w:val="00D75D0E"/>
    <w:rsid w:val="00D77B45"/>
    <w:rsid w:val="00D803C6"/>
    <w:rsid w:val="00D9022A"/>
    <w:rsid w:val="00D902D3"/>
    <w:rsid w:val="00D91C8A"/>
    <w:rsid w:val="00D958C6"/>
    <w:rsid w:val="00D977D5"/>
    <w:rsid w:val="00DA520B"/>
    <w:rsid w:val="00DA5F42"/>
    <w:rsid w:val="00DA7D29"/>
    <w:rsid w:val="00DB0090"/>
    <w:rsid w:val="00DB01BC"/>
    <w:rsid w:val="00DB3538"/>
    <w:rsid w:val="00DB55FB"/>
    <w:rsid w:val="00DB5A5E"/>
    <w:rsid w:val="00DC360B"/>
    <w:rsid w:val="00DC47F3"/>
    <w:rsid w:val="00DC5239"/>
    <w:rsid w:val="00DC5C30"/>
    <w:rsid w:val="00DC7129"/>
    <w:rsid w:val="00DD06EB"/>
    <w:rsid w:val="00DD0E17"/>
    <w:rsid w:val="00DD24C3"/>
    <w:rsid w:val="00DD2CC1"/>
    <w:rsid w:val="00DD416C"/>
    <w:rsid w:val="00DD5E8D"/>
    <w:rsid w:val="00DD7123"/>
    <w:rsid w:val="00DE0B7E"/>
    <w:rsid w:val="00DE1329"/>
    <w:rsid w:val="00DE34A2"/>
    <w:rsid w:val="00DE42B9"/>
    <w:rsid w:val="00DE53E3"/>
    <w:rsid w:val="00DF49D2"/>
    <w:rsid w:val="00DF61F4"/>
    <w:rsid w:val="00DF776C"/>
    <w:rsid w:val="00E006D9"/>
    <w:rsid w:val="00E01421"/>
    <w:rsid w:val="00E0599D"/>
    <w:rsid w:val="00E074FA"/>
    <w:rsid w:val="00E10596"/>
    <w:rsid w:val="00E10C85"/>
    <w:rsid w:val="00E11299"/>
    <w:rsid w:val="00E15BF1"/>
    <w:rsid w:val="00E16619"/>
    <w:rsid w:val="00E16AC7"/>
    <w:rsid w:val="00E22C22"/>
    <w:rsid w:val="00E25210"/>
    <w:rsid w:val="00E26877"/>
    <w:rsid w:val="00E30A99"/>
    <w:rsid w:val="00E30D99"/>
    <w:rsid w:val="00E311F1"/>
    <w:rsid w:val="00E326E6"/>
    <w:rsid w:val="00E32A33"/>
    <w:rsid w:val="00E32CD5"/>
    <w:rsid w:val="00E35ADA"/>
    <w:rsid w:val="00E35CB2"/>
    <w:rsid w:val="00E409D3"/>
    <w:rsid w:val="00E4222A"/>
    <w:rsid w:val="00E42294"/>
    <w:rsid w:val="00E432BA"/>
    <w:rsid w:val="00E44906"/>
    <w:rsid w:val="00E45FCF"/>
    <w:rsid w:val="00E46573"/>
    <w:rsid w:val="00E471C1"/>
    <w:rsid w:val="00E472C0"/>
    <w:rsid w:val="00E524C1"/>
    <w:rsid w:val="00E537EA"/>
    <w:rsid w:val="00E538CB"/>
    <w:rsid w:val="00E53DFB"/>
    <w:rsid w:val="00E54CB7"/>
    <w:rsid w:val="00E56B04"/>
    <w:rsid w:val="00E6023F"/>
    <w:rsid w:val="00E636AE"/>
    <w:rsid w:val="00E63E39"/>
    <w:rsid w:val="00E64832"/>
    <w:rsid w:val="00E7050A"/>
    <w:rsid w:val="00E7276C"/>
    <w:rsid w:val="00E72DCC"/>
    <w:rsid w:val="00E7364E"/>
    <w:rsid w:val="00E74EFB"/>
    <w:rsid w:val="00E7510E"/>
    <w:rsid w:val="00E85A7E"/>
    <w:rsid w:val="00E85B0E"/>
    <w:rsid w:val="00E90E81"/>
    <w:rsid w:val="00E91129"/>
    <w:rsid w:val="00E94EA7"/>
    <w:rsid w:val="00E94F08"/>
    <w:rsid w:val="00E9792F"/>
    <w:rsid w:val="00E97AE9"/>
    <w:rsid w:val="00EA23A6"/>
    <w:rsid w:val="00EA45BA"/>
    <w:rsid w:val="00EB01FF"/>
    <w:rsid w:val="00EB6019"/>
    <w:rsid w:val="00EC159D"/>
    <w:rsid w:val="00EC27EF"/>
    <w:rsid w:val="00EC5EB8"/>
    <w:rsid w:val="00EC5F0C"/>
    <w:rsid w:val="00ED27EB"/>
    <w:rsid w:val="00ED3C4B"/>
    <w:rsid w:val="00ED3D08"/>
    <w:rsid w:val="00EE2438"/>
    <w:rsid w:val="00EE27A9"/>
    <w:rsid w:val="00EE3003"/>
    <w:rsid w:val="00EE6344"/>
    <w:rsid w:val="00EE6503"/>
    <w:rsid w:val="00EF0BA0"/>
    <w:rsid w:val="00EF11F9"/>
    <w:rsid w:val="00EF1424"/>
    <w:rsid w:val="00EF1D69"/>
    <w:rsid w:val="00EF5F41"/>
    <w:rsid w:val="00F001AB"/>
    <w:rsid w:val="00F0092F"/>
    <w:rsid w:val="00F01F48"/>
    <w:rsid w:val="00F04406"/>
    <w:rsid w:val="00F069CB"/>
    <w:rsid w:val="00F1216A"/>
    <w:rsid w:val="00F13697"/>
    <w:rsid w:val="00F17687"/>
    <w:rsid w:val="00F17EC3"/>
    <w:rsid w:val="00F21FBE"/>
    <w:rsid w:val="00F244EF"/>
    <w:rsid w:val="00F2493B"/>
    <w:rsid w:val="00F26CA8"/>
    <w:rsid w:val="00F312C3"/>
    <w:rsid w:val="00F327C1"/>
    <w:rsid w:val="00F3794F"/>
    <w:rsid w:val="00F3796C"/>
    <w:rsid w:val="00F37BB5"/>
    <w:rsid w:val="00F406AB"/>
    <w:rsid w:val="00F4087E"/>
    <w:rsid w:val="00F428D3"/>
    <w:rsid w:val="00F42BAA"/>
    <w:rsid w:val="00F43999"/>
    <w:rsid w:val="00F44929"/>
    <w:rsid w:val="00F4585F"/>
    <w:rsid w:val="00F4598D"/>
    <w:rsid w:val="00F46608"/>
    <w:rsid w:val="00F47DA0"/>
    <w:rsid w:val="00F52574"/>
    <w:rsid w:val="00F56CB8"/>
    <w:rsid w:val="00F56FA3"/>
    <w:rsid w:val="00F61F64"/>
    <w:rsid w:val="00F664BF"/>
    <w:rsid w:val="00F67BD9"/>
    <w:rsid w:val="00F71C4F"/>
    <w:rsid w:val="00F7249A"/>
    <w:rsid w:val="00F72E6A"/>
    <w:rsid w:val="00F731E8"/>
    <w:rsid w:val="00F75275"/>
    <w:rsid w:val="00F75863"/>
    <w:rsid w:val="00F76426"/>
    <w:rsid w:val="00F764F2"/>
    <w:rsid w:val="00F77D17"/>
    <w:rsid w:val="00F8178A"/>
    <w:rsid w:val="00F81F18"/>
    <w:rsid w:val="00F82853"/>
    <w:rsid w:val="00F84CAC"/>
    <w:rsid w:val="00F868DB"/>
    <w:rsid w:val="00F90F65"/>
    <w:rsid w:val="00F9155C"/>
    <w:rsid w:val="00F94BA1"/>
    <w:rsid w:val="00F95D47"/>
    <w:rsid w:val="00F9623E"/>
    <w:rsid w:val="00FA0A88"/>
    <w:rsid w:val="00FA109A"/>
    <w:rsid w:val="00FA2C0C"/>
    <w:rsid w:val="00FA31D1"/>
    <w:rsid w:val="00FA6919"/>
    <w:rsid w:val="00FB0367"/>
    <w:rsid w:val="00FB0DA6"/>
    <w:rsid w:val="00FC5489"/>
    <w:rsid w:val="00FC74A2"/>
    <w:rsid w:val="00FD3708"/>
    <w:rsid w:val="00FD6995"/>
    <w:rsid w:val="00FE39C3"/>
    <w:rsid w:val="00FE41D6"/>
    <w:rsid w:val="00FE690A"/>
    <w:rsid w:val="00FE78B0"/>
    <w:rsid w:val="00FF3408"/>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66C733"/>
  <w15:docId w15:val="{E3369E17-959C-4628-8429-AA5061B2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03348"/>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uiPriority w:val="99"/>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basedOn w:val="DefaultParagraphFont"/>
    <w:link w:val="ListParagraph"/>
    <w:uiPriority w:val="34"/>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character" w:customStyle="1" w:styleId="UnresolvedMention">
    <w:name w:val="Unresolved Mention"/>
    <w:basedOn w:val="DefaultParagraphFont"/>
    <w:uiPriority w:val="99"/>
    <w:semiHidden/>
    <w:unhideWhenUsed/>
    <w:rsid w:val="002F3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7021">
      <w:bodyDiv w:val="1"/>
      <w:marLeft w:val="0"/>
      <w:marRight w:val="0"/>
      <w:marTop w:val="0"/>
      <w:marBottom w:val="0"/>
      <w:divBdr>
        <w:top w:val="none" w:sz="0" w:space="0" w:color="auto"/>
        <w:left w:val="none" w:sz="0" w:space="0" w:color="auto"/>
        <w:bottom w:val="none" w:sz="0" w:space="0" w:color="auto"/>
        <w:right w:val="none" w:sz="0" w:space="0" w:color="auto"/>
      </w:divBdr>
    </w:div>
    <w:div w:id="442845121">
      <w:bodyDiv w:val="1"/>
      <w:marLeft w:val="0"/>
      <w:marRight w:val="0"/>
      <w:marTop w:val="0"/>
      <w:marBottom w:val="0"/>
      <w:divBdr>
        <w:top w:val="none" w:sz="0" w:space="0" w:color="auto"/>
        <w:left w:val="none" w:sz="0" w:space="0" w:color="auto"/>
        <w:bottom w:val="none" w:sz="0" w:space="0" w:color="auto"/>
        <w:right w:val="none" w:sz="0" w:space="0" w:color="auto"/>
      </w:divBdr>
    </w:div>
    <w:div w:id="547448764">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1205023701">
      <w:bodyDiv w:val="1"/>
      <w:marLeft w:val="0"/>
      <w:marRight w:val="0"/>
      <w:marTop w:val="0"/>
      <w:marBottom w:val="0"/>
      <w:divBdr>
        <w:top w:val="none" w:sz="0" w:space="0" w:color="auto"/>
        <w:left w:val="none" w:sz="0" w:space="0" w:color="auto"/>
        <w:bottom w:val="none" w:sz="0" w:space="0" w:color="auto"/>
        <w:right w:val="none" w:sz="0" w:space="0" w:color="auto"/>
      </w:divBdr>
    </w:div>
    <w:div w:id="1454326578">
      <w:bodyDiv w:val="1"/>
      <w:marLeft w:val="0"/>
      <w:marRight w:val="0"/>
      <w:marTop w:val="0"/>
      <w:marBottom w:val="0"/>
      <w:divBdr>
        <w:top w:val="none" w:sz="0" w:space="0" w:color="auto"/>
        <w:left w:val="none" w:sz="0" w:space="0" w:color="auto"/>
        <w:bottom w:val="none" w:sz="0" w:space="0" w:color="auto"/>
        <w:right w:val="none" w:sz="0" w:space="0" w:color="auto"/>
      </w:divBdr>
    </w:div>
    <w:div w:id="1469086938">
      <w:bodyDiv w:val="1"/>
      <w:marLeft w:val="0"/>
      <w:marRight w:val="0"/>
      <w:marTop w:val="0"/>
      <w:marBottom w:val="0"/>
      <w:divBdr>
        <w:top w:val="none" w:sz="0" w:space="0" w:color="auto"/>
        <w:left w:val="none" w:sz="0" w:space="0" w:color="auto"/>
        <w:bottom w:val="none" w:sz="0" w:space="0" w:color="auto"/>
        <w:right w:val="none" w:sz="0" w:space="0" w:color="auto"/>
      </w:divBdr>
    </w:div>
    <w:div w:id="1726879066">
      <w:bodyDiv w:val="1"/>
      <w:marLeft w:val="0"/>
      <w:marRight w:val="0"/>
      <w:marTop w:val="0"/>
      <w:marBottom w:val="0"/>
      <w:divBdr>
        <w:top w:val="none" w:sz="0" w:space="0" w:color="auto"/>
        <w:left w:val="none" w:sz="0" w:space="0" w:color="auto"/>
        <w:bottom w:val="none" w:sz="0" w:space="0" w:color="auto"/>
        <w:right w:val="none" w:sz="0" w:space="0" w:color="auto"/>
      </w:divBdr>
    </w:div>
    <w:div w:id="1753699640">
      <w:bodyDiv w:val="1"/>
      <w:marLeft w:val="0"/>
      <w:marRight w:val="0"/>
      <w:marTop w:val="0"/>
      <w:marBottom w:val="0"/>
      <w:divBdr>
        <w:top w:val="none" w:sz="0" w:space="0" w:color="auto"/>
        <w:left w:val="none" w:sz="0" w:space="0" w:color="auto"/>
        <w:bottom w:val="none" w:sz="0" w:space="0" w:color="auto"/>
        <w:right w:val="none" w:sz="0" w:space="0" w:color="auto"/>
      </w:divBdr>
    </w:div>
    <w:div w:id="1828203014">
      <w:bodyDiv w:val="1"/>
      <w:marLeft w:val="0"/>
      <w:marRight w:val="0"/>
      <w:marTop w:val="0"/>
      <w:marBottom w:val="0"/>
      <w:divBdr>
        <w:top w:val="none" w:sz="0" w:space="0" w:color="auto"/>
        <w:left w:val="none" w:sz="0" w:space="0" w:color="auto"/>
        <w:bottom w:val="none" w:sz="0" w:space="0" w:color="auto"/>
        <w:right w:val="none" w:sz="0" w:space="0" w:color="auto"/>
      </w:divBdr>
    </w:div>
    <w:div w:id="2133160033">
      <w:bodyDiv w:val="1"/>
      <w:marLeft w:val="0"/>
      <w:marRight w:val="0"/>
      <w:marTop w:val="0"/>
      <w:marBottom w:val="0"/>
      <w:divBdr>
        <w:top w:val="none" w:sz="0" w:space="0" w:color="auto"/>
        <w:left w:val="none" w:sz="0" w:space="0" w:color="auto"/>
        <w:bottom w:val="none" w:sz="0" w:space="0" w:color="auto"/>
        <w:right w:val="none" w:sz="0" w:space="0" w:color="auto"/>
      </w:divBdr>
    </w:div>
    <w:div w:id="21391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apps.who.int/iris/bitstream/handle/10665/85349/9789241548564_eng.pdf;jsessionid=EE45FF4B510A5297A7DFF6030A3BED25?sequence=1"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ho.int/emergencies/diseases/novel-coronavirus-2019/technical-guidan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5FFB0B3-E22B-BB4E-A89F-298AF34C267E}">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2CE4AC8D6CCC44B596BA15C76A623D" ma:contentTypeVersion="7" ma:contentTypeDescription="Create a new document." ma:contentTypeScope="" ma:versionID="49652a42fc8012b545dbfde10168771f">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312778cb9fec355183f4d165ab7dd6"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85EEA0C5-23C7-426F-8FDD-D3E145762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4.xml><?xml version="1.0" encoding="utf-8"?>
<ds:datastoreItem xmlns:ds="http://schemas.openxmlformats.org/officeDocument/2006/customXml" ds:itemID="{F23041D8-EC4F-495F-936E-B9A5F2706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Environment and Social Commitment Plan</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Dominique Isabelle Kayser</dc:creator>
  <cp:keywords/>
  <dc:description/>
  <cp:lastModifiedBy>HP</cp:lastModifiedBy>
  <cp:revision>181</cp:revision>
  <cp:lastPrinted>2020-02-27T19:07:00Z</cp:lastPrinted>
  <dcterms:created xsi:type="dcterms:W3CDTF">2020-04-24T07:52:00Z</dcterms:created>
  <dcterms:modified xsi:type="dcterms:W3CDTF">2020-05-13T10:26:00Z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0x010100E52CE4AC8D6CCC44B596BA15C76A623D</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VPU">
    <vt:lpwstr>43;#Operations Policy ＆ Country Services VP (OPS)|db476ba0-ec71-4b53-8c80-eca6e3887ba4</vt:lpwstr>
  </property>
  <property fmtid="{D5CDD505-2E9C-101B-9397-08002B2CF9AE}" pid="9" name="DocumentType">
    <vt:lpwstr>944;#Environmental Action Plan|c9143431-1592-49e0-9330-13abf4d9f553</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y fmtid="{D5CDD505-2E9C-101B-9397-08002B2CF9AE}" pid="16" name="Cordis ID">
    <vt:lpwstr>PROJDOCESCP001</vt:lpwstr>
  </property>
  <property fmtid="{D5CDD505-2E9C-101B-9397-08002B2CF9AE}" pid="17" name="Stage">
    <vt:lpwstr>APR</vt:lpwstr>
  </property>
  <property fmtid="{D5CDD505-2E9C-101B-9397-08002B2CF9AE}" pid="18" name="IsTemplate">
    <vt:bool>false</vt:bool>
  </property>
  <property fmtid="{D5CDD505-2E9C-101B-9397-08002B2CF9AE}" pid="19" name="WBDocType">
    <vt:lpwstr/>
  </property>
  <property fmtid="{D5CDD505-2E9C-101B-9397-08002B2CF9AE}" pid="20" name="ProjectID">
    <vt:lpwstr>P173892</vt:lpwstr>
  </property>
  <property fmtid="{D5CDD505-2E9C-101B-9397-08002B2CF9AE}" pid="21" name="Task ID">
    <vt:lpwstr>PRC0013559</vt:lpwstr>
  </property>
  <property fmtid="{D5CDD505-2E9C-101B-9397-08002B2CF9AE}" pid="22" name="HasUserUploaded">
    <vt:bool>true</vt:bool>
  </property>
</Properties>
</file>