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F4" w:rsidRDefault="00D02735">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8875F4" w:rsidRDefault="00D02735">
      <w:pPr>
        <w:spacing w:after="150"/>
        <w:jc w:val="center"/>
      </w:pPr>
      <w:r>
        <w:rPr>
          <w:b/>
          <w:color w:val="000000"/>
        </w:rPr>
        <w:t>1493</w:t>
      </w:r>
    </w:p>
    <w:p w:rsidR="008875F4" w:rsidRDefault="00D02735">
      <w:pPr>
        <w:spacing w:after="150"/>
      </w:pPr>
      <w:r>
        <w:rPr>
          <w:color w:val="000000"/>
        </w:rPr>
        <w:t xml:space="preserve">Нa oснoву члaнa 26. стaв 6. тaчкa 5) Зaкoнa o бeзбeднoсти хрaнe („Службени глaсник РС”, бр. 41/09 и 17/19) и члана 17. став 1. и члана 24. </w:t>
      </w:r>
      <w:r>
        <w:rPr>
          <w:color w:val="000000"/>
        </w:rPr>
        <w:t>Закона о Влади („Службени глaсник РС”, бр. 5/0, 71/05 – исправка, 101/07, 65/08, 16/11, 68/12 – УС, 72/12, 7/14 – УС, 44/14 и 30/18 – др. закон),</w:t>
      </w:r>
    </w:p>
    <w:p w:rsidR="008875F4" w:rsidRDefault="00D02735">
      <w:pPr>
        <w:spacing w:after="150"/>
      </w:pPr>
      <w:r>
        <w:rPr>
          <w:color w:val="000000"/>
        </w:rPr>
        <w:t>Министaр здрaвљa уз сагласност министра пољопривреде, шумарства и пољопривреде дoнoси</w:t>
      </w:r>
    </w:p>
    <w:p w:rsidR="008875F4" w:rsidRDefault="00D02735">
      <w:pPr>
        <w:spacing w:after="225"/>
        <w:jc w:val="center"/>
      </w:pPr>
      <w:r>
        <w:rPr>
          <w:b/>
          <w:color w:val="000000"/>
        </w:rPr>
        <w:t>ПРAВИЛНИК</w:t>
      </w:r>
    </w:p>
    <w:p w:rsidR="008875F4" w:rsidRDefault="00D02735">
      <w:pPr>
        <w:spacing w:after="150"/>
        <w:jc w:val="center"/>
      </w:pPr>
      <w:r>
        <w:rPr>
          <w:b/>
          <w:color w:val="000000"/>
        </w:rPr>
        <w:t>о додацима исх</w:t>
      </w:r>
      <w:r>
        <w:rPr>
          <w:b/>
          <w:color w:val="000000"/>
        </w:rPr>
        <w:t>рани (дијететски суплементи)</w:t>
      </w:r>
    </w:p>
    <w:p w:rsidR="008875F4" w:rsidRDefault="00D02735">
      <w:pPr>
        <w:spacing w:after="120"/>
        <w:jc w:val="center"/>
      </w:pPr>
      <w:r>
        <w:rPr>
          <w:b/>
          <w:color w:val="000000"/>
        </w:rPr>
        <w:t>Прeдмeт Прaвилникa</w:t>
      </w:r>
    </w:p>
    <w:p w:rsidR="008875F4" w:rsidRDefault="00D02735">
      <w:pPr>
        <w:spacing w:after="120"/>
        <w:jc w:val="center"/>
      </w:pPr>
      <w:r>
        <w:rPr>
          <w:color w:val="000000"/>
        </w:rPr>
        <w:t>Члан 1.</w:t>
      </w:r>
    </w:p>
    <w:p w:rsidR="008875F4" w:rsidRDefault="00D02735">
      <w:pPr>
        <w:spacing w:after="150"/>
      </w:pPr>
      <w:r>
        <w:rPr>
          <w:color w:val="000000"/>
        </w:rPr>
        <w:t>Овај правилник односи се на додатке исхрани који се стављају на тржиште као храна, где су присутни као такви. Ови производи се стављају у промет само у упакованом облику.</w:t>
      </w:r>
    </w:p>
    <w:p w:rsidR="008875F4" w:rsidRDefault="00D02735">
      <w:pPr>
        <w:spacing w:after="120"/>
        <w:jc w:val="center"/>
      </w:pPr>
      <w:r>
        <w:rPr>
          <w:b/>
          <w:color w:val="000000"/>
        </w:rPr>
        <w:t>Знaчeњe пojмoвa</w:t>
      </w:r>
    </w:p>
    <w:p w:rsidR="008875F4" w:rsidRDefault="00D02735">
      <w:pPr>
        <w:spacing w:after="120"/>
        <w:jc w:val="center"/>
      </w:pPr>
      <w:r>
        <w:rPr>
          <w:color w:val="000000"/>
        </w:rPr>
        <w:t>Члан 2.</w:t>
      </w:r>
    </w:p>
    <w:p w:rsidR="008875F4" w:rsidRDefault="00D02735">
      <w:pPr>
        <w:spacing w:after="150"/>
      </w:pPr>
      <w:r>
        <w:rPr>
          <w:color w:val="000000"/>
        </w:rPr>
        <w:t>Пojeд</w:t>
      </w:r>
      <w:r>
        <w:rPr>
          <w:color w:val="000000"/>
        </w:rPr>
        <w:t>ини изрaзи у oвoм прaвилнику имajу слeдeћe знaчeњe:</w:t>
      </w:r>
    </w:p>
    <w:p w:rsidR="008875F4" w:rsidRDefault="00D02735">
      <w:pPr>
        <w:spacing w:after="150"/>
      </w:pPr>
      <w:r>
        <w:rPr>
          <w:color w:val="000000"/>
        </w:rPr>
        <w:t>(а) „додаци исхрани” (дијететски суплементи) су храна која допуњује уобичајену исхрану, и која представља концентроване изворе хранљивих састојака или других састојака са хранљивим или физиолошким ефектом</w:t>
      </w:r>
      <w:r>
        <w:rPr>
          <w:color w:val="000000"/>
        </w:rPr>
        <w:t>, појединачно или у комбинацији, а у промету се налазе у дозираним облицима као што су капсуле, пастиле, таблете и слично, кесице прашка, ампуле течности, бочице са капаљком, и осталим сличним облицима течности и прашка намењеним за узимање у малим, дозира</w:t>
      </w:r>
      <w:r>
        <w:rPr>
          <w:color w:val="000000"/>
        </w:rPr>
        <w:t>ним количинама.</w:t>
      </w:r>
    </w:p>
    <w:p w:rsidR="008875F4" w:rsidRDefault="00D02735">
      <w:pPr>
        <w:spacing w:after="150"/>
      </w:pPr>
      <w:r>
        <w:rPr>
          <w:color w:val="000000"/>
        </w:rPr>
        <w:t>(б) „храњиви састојци” су следећи састојци:</w:t>
      </w:r>
    </w:p>
    <w:p w:rsidR="008875F4" w:rsidRDefault="00D02735">
      <w:pPr>
        <w:spacing w:after="150"/>
      </w:pPr>
      <w:r>
        <w:rPr>
          <w:color w:val="000000"/>
        </w:rPr>
        <w:t>I. витамини;</w:t>
      </w:r>
    </w:p>
    <w:p w:rsidR="008875F4" w:rsidRDefault="00D02735">
      <w:pPr>
        <w:spacing w:after="150"/>
      </w:pPr>
      <w:r>
        <w:rPr>
          <w:color w:val="000000"/>
        </w:rPr>
        <w:t>II. минерали.</w:t>
      </w:r>
    </w:p>
    <w:p w:rsidR="008875F4" w:rsidRDefault="00D02735">
      <w:pPr>
        <w:spacing w:after="120"/>
        <w:jc w:val="center"/>
      </w:pPr>
      <w:r>
        <w:rPr>
          <w:color w:val="000000"/>
        </w:rPr>
        <w:t>Члан 3.</w:t>
      </w:r>
    </w:p>
    <w:p w:rsidR="008875F4" w:rsidRDefault="00D02735">
      <w:pPr>
        <w:spacing w:after="150"/>
      </w:pPr>
      <w:r>
        <w:rPr>
          <w:color w:val="000000"/>
        </w:rPr>
        <w:t>Додаци исхрани могу бити на тржишту Републике Србије само ако задовољавају услове предвиђене овим правилником.</w:t>
      </w:r>
    </w:p>
    <w:p w:rsidR="008875F4" w:rsidRDefault="00D02735">
      <w:pPr>
        <w:spacing w:after="120"/>
        <w:jc w:val="center"/>
      </w:pPr>
      <w:r>
        <w:rPr>
          <w:color w:val="000000"/>
        </w:rPr>
        <w:t>Члан 4.</w:t>
      </w:r>
    </w:p>
    <w:p w:rsidR="008875F4" w:rsidRDefault="00D02735">
      <w:pPr>
        <w:spacing w:after="150"/>
      </w:pPr>
      <w:r>
        <w:rPr>
          <w:color w:val="000000"/>
        </w:rPr>
        <w:t>Само витамини и минерали, који се могу кор</w:t>
      </w:r>
      <w:r>
        <w:rPr>
          <w:color w:val="000000"/>
        </w:rPr>
        <w:t xml:space="preserve">истити у производњи додатака исхрани, односно сусптанце који се могу користити као извори витамина и минерала у производњи додатака исхрани (дијететских суплемената) наведени у Прилогу I. у хемијским облицима наведеним у Прилогу II, могу </w:t>
      </w:r>
      <w:r>
        <w:rPr>
          <w:color w:val="000000"/>
        </w:rPr>
        <w:lastRenderedPageBreak/>
        <w:t xml:space="preserve">бити коришћени за </w:t>
      </w:r>
      <w:r>
        <w:rPr>
          <w:color w:val="000000"/>
        </w:rPr>
        <w:t>производњу додатака исхрани. Максимално дозвољене количине витамина и минерала у дневној дози додатка исхрани за одрасле особе дате су у Прилогу III.</w:t>
      </w:r>
    </w:p>
    <w:p w:rsidR="008875F4" w:rsidRDefault="00D02735">
      <w:pPr>
        <w:spacing w:after="150"/>
      </w:pPr>
      <w:r>
        <w:rPr>
          <w:color w:val="000000"/>
        </w:rPr>
        <w:t>Прописи и стандарди који се односе на производе уобичајеног састава у погледу општег и нутритивног деклари</w:t>
      </w:r>
      <w:r>
        <w:rPr>
          <w:color w:val="000000"/>
        </w:rPr>
        <w:t>сања и означавања, мерења и граница одступања од декларисане количине упакованих намирница, квалитета, услова употребе адитива, арома, ензима и помоћних средстава, захтева за микробиолошку исправност и максимално дозвољене количине контаминената и резидуа,</w:t>
      </w:r>
      <w:r>
        <w:rPr>
          <w:color w:val="000000"/>
        </w:rPr>
        <w:t xml:space="preserve"> примењују се и на додатке исхрани, уколико овим правилником није другачије прописано.</w:t>
      </w:r>
    </w:p>
    <w:p w:rsidR="008875F4" w:rsidRDefault="00D02735">
      <w:pPr>
        <w:spacing w:after="150"/>
      </w:pPr>
      <w:r>
        <w:rPr>
          <w:color w:val="000000"/>
        </w:rPr>
        <w:t>Чистоћа супстанци са нутритивним или физиолошким ефектом, као и чистоћа осталих састојака који се користе у производњи додатака исхрани, мора да одговара захтевима посеб</w:t>
      </w:r>
      <w:r>
        <w:rPr>
          <w:color w:val="000000"/>
        </w:rPr>
        <w:t>них прописа о квалитету одговарајућих намирница, прописа о прехрамбеним адитивима, аромама, ензимима, помоћним средствима у производњи хране, захтевима националне или европске фармакопеје или других међународно прихваћених захтева за чистоћу супстанци које</w:t>
      </w:r>
      <w:r>
        <w:rPr>
          <w:color w:val="000000"/>
        </w:rPr>
        <w:t xml:space="preserve"> препоручују међународне организације и експертска тела основана у области безбедности хране.</w:t>
      </w:r>
    </w:p>
    <w:p w:rsidR="008875F4" w:rsidRDefault="00D02735">
      <w:pPr>
        <w:spacing w:after="150"/>
      </w:pPr>
      <w:r>
        <w:rPr>
          <w:color w:val="000000"/>
        </w:rPr>
        <w:t>Максимално дозвољене концентрације одређених хемијских контаминената у додацима исхрани дате су у Прилогу IV.</w:t>
      </w:r>
    </w:p>
    <w:p w:rsidR="008875F4" w:rsidRDefault="00D02735">
      <w:pPr>
        <w:spacing w:after="150"/>
      </w:pPr>
      <w:r>
        <w:rPr>
          <w:color w:val="000000"/>
        </w:rPr>
        <w:t>Додаци исхрани морају одговарати микробиолошким крит</w:t>
      </w:r>
      <w:r>
        <w:rPr>
          <w:color w:val="000000"/>
        </w:rPr>
        <w:t>еријумима наведеним у Прилогу V.</w:t>
      </w:r>
    </w:p>
    <w:p w:rsidR="008875F4" w:rsidRDefault="00D02735">
      <w:pPr>
        <w:spacing w:after="150"/>
      </w:pPr>
      <w:r>
        <w:rPr>
          <w:color w:val="000000"/>
        </w:rPr>
        <w:t>Промене у Прилозима I–V. овог правилника, доносе се у складу с процедуром предвиђеном Законом о безбедности хране, а на основу хитности и мишљења Стручног савета за процену ризика у области безбедности хране (у даљем тексту</w:t>
      </w:r>
      <w:r>
        <w:rPr>
          <w:color w:val="000000"/>
        </w:rPr>
        <w:t xml:space="preserve"> Стручни савет).</w:t>
      </w:r>
    </w:p>
    <w:p w:rsidR="008875F4" w:rsidRDefault="00D02735">
      <w:pPr>
        <w:spacing w:after="150"/>
      </w:pPr>
      <w:r>
        <w:rPr>
          <w:color w:val="000000"/>
        </w:rPr>
        <w:t>Прилози I–V. одштампани су уз овај правилник и чине његов саставни део.</w:t>
      </w:r>
    </w:p>
    <w:p w:rsidR="008875F4" w:rsidRDefault="00D02735">
      <w:pPr>
        <w:spacing w:after="120"/>
        <w:jc w:val="center"/>
      </w:pPr>
      <w:r>
        <w:rPr>
          <w:color w:val="000000"/>
        </w:rPr>
        <w:t>Члан 5.</w:t>
      </w:r>
    </w:p>
    <w:p w:rsidR="008875F4" w:rsidRDefault="00D02735">
      <w:pPr>
        <w:spacing w:after="150"/>
      </w:pPr>
      <w:r>
        <w:rPr>
          <w:color w:val="000000"/>
        </w:rPr>
        <w:t xml:space="preserve">Минималне количине витамина и минерала у додацима исхрани су оне којима се са дневном количином производа према препоруци произвођача обезбеђују значајне </w:t>
      </w:r>
      <w:r>
        <w:rPr>
          <w:color w:val="000000"/>
        </w:rPr>
        <w:t>количине витамина и минерала дефинисане прописом који регулише декларисање, означавање и рекламирање хране.</w:t>
      </w:r>
    </w:p>
    <w:p w:rsidR="008875F4" w:rsidRDefault="00D02735">
      <w:pPr>
        <w:spacing w:after="150"/>
      </w:pPr>
      <w:r>
        <w:rPr>
          <w:color w:val="000000"/>
        </w:rPr>
        <w:t>Максимално дозвољене количине витамина и минерала у додацима исхрани за одрасле у количини производа која се препоручује за дневни унос дате су у Пр</w:t>
      </w:r>
      <w:r>
        <w:rPr>
          <w:color w:val="000000"/>
        </w:rPr>
        <w:t>илогу III. овог правилника.</w:t>
      </w:r>
    </w:p>
    <w:p w:rsidR="008875F4" w:rsidRDefault="00D02735">
      <w:pPr>
        <w:spacing w:after="150"/>
      </w:pPr>
      <w:r>
        <w:rPr>
          <w:color w:val="000000"/>
        </w:rPr>
        <w:t>У изузетним случајевима под посебним условима може се одобрити већа максимално дозвољена количина витамина и минерала у дневној дози суплемента од количине наведене у Прилогу III. овог правилника. Декларација оваквог производа н</w:t>
      </w:r>
      <w:r>
        <w:rPr>
          <w:color w:val="000000"/>
        </w:rPr>
        <w:t xml:space="preserve">е сме да садржи здравствене изјаве и мора да садржи наведену намену и популациону групу којој је производ намењен, </w:t>
      </w:r>
      <w:r>
        <w:rPr>
          <w:color w:val="000000"/>
        </w:rPr>
        <w:lastRenderedPageBreak/>
        <w:t>као и навод да се такав суплемент узима уз обавезну консултацију са лекаром.</w:t>
      </w:r>
    </w:p>
    <w:p w:rsidR="008875F4" w:rsidRDefault="00D02735">
      <w:pPr>
        <w:spacing w:after="120"/>
        <w:jc w:val="center"/>
      </w:pPr>
      <w:r>
        <w:rPr>
          <w:b/>
          <w:color w:val="000000"/>
        </w:rPr>
        <w:t>Означавање додатака исхрани</w:t>
      </w:r>
    </w:p>
    <w:p w:rsidR="008875F4" w:rsidRDefault="00D02735">
      <w:pPr>
        <w:spacing w:after="120"/>
        <w:jc w:val="center"/>
      </w:pPr>
      <w:r>
        <w:rPr>
          <w:color w:val="000000"/>
        </w:rPr>
        <w:t>Члан 6.</w:t>
      </w:r>
    </w:p>
    <w:p w:rsidR="008875F4" w:rsidRDefault="00D02735">
      <w:pPr>
        <w:spacing w:after="150"/>
      </w:pPr>
      <w:r>
        <w:rPr>
          <w:color w:val="000000"/>
        </w:rPr>
        <w:t xml:space="preserve">Назив под којим се стављају </w:t>
      </w:r>
      <w:r>
        <w:rPr>
          <w:color w:val="000000"/>
        </w:rPr>
        <w:t>у промет производи обухваћени овим правилником је „додатак исхрани” или „дијететски суплемент”.</w:t>
      </w:r>
    </w:p>
    <w:p w:rsidR="008875F4" w:rsidRDefault="00D02735">
      <w:pPr>
        <w:spacing w:after="150"/>
      </w:pPr>
      <w:r>
        <w:rPr>
          <w:color w:val="000000"/>
        </w:rPr>
        <w:t>Декларацијом, означавањем и рекламирањем додатака исхрани не могу се приписивати својства превенције, третирања и лечења болести, или се позивати на таква својс</w:t>
      </w:r>
      <w:r>
        <w:rPr>
          <w:color w:val="000000"/>
        </w:rPr>
        <w:t>тва.</w:t>
      </w:r>
    </w:p>
    <w:p w:rsidR="008875F4" w:rsidRDefault="00D02735">
      <w:pPr>
        <w:spacing w:after="150"/>
      </w:pPr>
      <w:r>
        <w:rPr>
          <w:color w:val="000000"/>
        </w:rPr>
        <w:t>Поред захтева из прописа који регулише декларисање, означавање и рекламирање хране, декларација мора да садржи следеће податке:</w:t>
      </w:r>
    </w:p>
    <w:p w:rsidR="008875F4" w:rsidRDefault="00D02735">
      <w:pPr>
        <w:spacing w:after="150"/>
      </w:pPr>
      <w:r>
        <w:rPr>
          <w:color w:val="000000"/>
        </w:rPr>
        <w:t>1) називе категорија хранљивих састојака или супстанци које карактеришу производ или опис природе хранљивих састојака или с</w:t>
      </w:r>
      <w:r>
        <w:rPr>
          <w:color w:val="000000"/>
        </w:rPr>
        <w:t>упстанци;</w:t>
      </w:r>
    </w:p>
    <w:p w:rsidR="008875F4" w:rsidRDefault="00D02735">
      <w:pPr>
        <w:spacing w:after="150"/>
      </w:pPr>
      <w:r>
        <w:rPr>
          <w:color w:val="000000"/>
        </w:rPr>
        <w:t>2) количину производа која се препоручује за дневни унос;</w:t>
      </w:r>
    </w:p>
    <w:p w:rsidR="008875F4" w:rsidRDefault="00D02735">
      <w:pPr>
        <w:spacing w:after="150"/>
      </w:pPr>
      <w:r>
        <w:rPr>
          <w:color w:val="000000"/>
        </w:rPr>
        <w:t>3) упозорење да се не сме прекорачити препоручена дневна доза;</w:t>
      </w:r>
    </w:p>
    <w:p w:rsidR="008875F4" w:rsidRDefault="00D02735">
      <w:pPr>
        <w:spacing w:after="150"/>
      </w:pPr>
      <w:r>
        <w:rPr>
          <w:color w:val="000000"/>
        </w:rPr>
        <w:t>4) напомену да се додаци исхрани не могу користити као замена за разноврсну исхрану;</w:t>
      </w:r>
    </w:p>
    <w:p w:rsidR="008875F4" w:rsidRDefault="00D02735">
      <w:pPr>
        <w:spacing w:after="150"/>
      </w:pPr>
      <w:r>
        <w:rPr>
          <w:color w:val="000000"/>
        </w:rPr>
        <w:t xml:space="preserve">5) напомену да производе треба држати </w:t>
      </w:r>
      <w:r>
        <w:rPr>
          <w:color w:val="000000"/>
        </w:rPr>
        <w:t>ван домашаја мале деце;</w:t>
      </w:r>
    </w:p>
    <w:p w:rsidR="008875F4" w:rsidRDefault="00D02735">
      <w:pPr>
        <w:spacing w:after="150"/>
      </w:pPr>
      <w:r>
        <w:rPr>
          <w:color w:val="000000"/>
        </w:rPr>
        <w:t>6) упутство о начину примене додатка исхрани; ограничења у примени и посебна упозорења за потенцијално ризичне категорије: деца, труднице, дојиље, лица која болују од хроничних болести и др.</w:t>
      </w:r>
    </w:p>
    <w:p w:rsidR="008875F4" w:rsidRDefault="00D02735">
      <w:pPr>
        <w:spacing w:after="150"/>
      </w:pPr>
      <w:r>
        <w:rPr>
          <w:color w:val="000000"/>
        </w:rPr>
        <w:t xml:space="preserve">Декларација може да садржи информацију о </w:t>
      </w:r>
      <w:r>
        <w:rPr>
          <w:color w:val="000000"/>
        </w:rPr>
        <w:t>намени производа тамо где је применљиво не доводећи потрошача у заблуду.</w:t>
      </w:r>
    </w:p>
    <w:p w:rsidR="008875F4" w:rsidRDefault="00D02735">
      <w:pPr>
        <w:spacing w:after="120"/>
        <w:jc w:val="center"/>
      </w:pPr>
      <w:r>
        <w:rPr>
          <w:color w:val="000000"/>
        </w:rPr>
        <w:t>Члан 7.</w:t>
      </w:r>
    </w:p>
    <w:p w:rsidR="008875F4" w:rsidRDefault="00D02735">
      <w:pPr>
        <w:spacing w:after="150"/>
      </w:pPr>
      <w:r>
        <w:rPr>
          <w:color w:val="000000"/>
        </w:rPr>
        <w:t>Декларација, означавање и рекламирање додатака исхрани не сме да садржи било какву изјаву којом се сугерише или тврди да избалансирана и разноврсна исхрана не може да обезбеди</w:t>
      </w:r>
      <w:r>
        <w:rPr>
          <w:color w:val="000000"/>
        </w:rPr>
        <w:t xml:space="preserve"> одговарајуће количине хранљивих састојака.</w:t>
      </w:r>
    </w:p>
    <w:p w:rsidR="008875F4" w:rsidRDefault="00D02735">
      <w:pPr>
        <w:spacing w:after="120"/>
        <w:jc w:val="center"/>
      </w:pPr>
      <w:r>
        <w:rPr>
          <w:color w:val="000000"/>
        </w:rPr>
        <w:t>Члан 8.</w:t>
      </w:r>
    </w:p>
    <w:p w:rsidR="008875F4" w:rsidRDefault="00D02735">
      <w:pPr>
        <w:spacing w:after="150"/>
      </w:pPr>
      <w:r>
        <w:rPr>
          <w:color w:val="000000"/>
        </w:rPr>
        <w:t xml:space="preserve">Количина витамина, минерала и других супстанци са хранљивим или физиолошким ефектом присутних у производу мора бити изражена на декларацији у нумеричкој форми. За декларисање количине витамина и минерала </w:t>
      </w:r>
      <w:r>
        <w:rPr>
          <w:color w:val="000000"/>
        </w:rPr>
        <w:t>користе се само јединице наведене у Прилогу I. овог правилника.</w:t>
      </w:r>
    </w:p>
    <w:p w:rsidR="008875F4" w:rsidRDefault="00D02735">
      <w:pPr>
        <w:spacing w:after="150"/>
      </w:pPr>
      <w:r>
        <w:rPr>
          <w:color w:val="000000"/>
        </w:rPr>
        <w:t>Декларација мора да садржи податке о количинама витамина и минерала и других супстанци са хранљивим или физиолошким ефектом које се налазе у количини производа коју произвођач препоручује за д</w:t>
      </w:r>
      <w:r>
        <w:rPr>
          <w:color w:val="000000"/>
        </w:rPr>
        <w:t>невни унос.</w:t>
      </w:r>
    </w:p>
    <w:p w:rsidR="008875F4" w:rsidRDefault="00D02735">
      <w:pPr>
        <w:spacing w:after="150"/>
      </w:pPr>
      <w:r>
        <w:rPr>
          <w:color w:val="000000"/>
        </w:rPr>
        <w:lastRenderedPageBreak/>
        <w:t>Количине витамина и минерала такође треба да буду изражене као проценат нутритивних референтних вредности (NRV) у складу са прописом који регулише декларисање, означавање и рекламирање хране.</w:t>
      </w:r>
    </w:p>
    <w:p w:rsidR="008875F4" w:rsidRDefault="00D02735">
      <w:pPr>
        <w:spacing w:after="120"/>
        <w:jc w:val="center"/>
      </w:pPr>
      <w:r>
        <w:rPr>
          <w:color w:val="000000"/>
        </w:rPr>
        <w:t>Члан 9.</w:t>
      </w:r>
    </w:p>
    <w:p w:rsidR="008875F4" w:rsidRDefault="00D02735">
      <w:pPr>
        <w:spacing w:after="150"/>
      </w:pPr>
      <w:r>
        <w:rPr>
          <w:color w:val="000000"/>
        </w:rPr>
        <w:t>Декларисане вредности наведене у члану 8. ст</w:t>
      </w:r>
      <w:r>
        <w:rPr>
          <w:color w:val="000000"/>
        </w:rPr>
        <w:t>. 1. и 2. овог правилника треба да представљају средње вредности које одреди произвођач рачунски или анализом производа.</w:t>
      </w:r>
    </w:p>
    <w:p w:rsidR="008875F4" w:rsidRDefault="00D02735">
      <w:pPr>
        <w:spacing w:after="150"/>
      </w:pPr>
      <w:r>
        <w:rPr>
          <w:color w:val="000000"/>
        </w:rPr>
        <w:t>За потребе службене контроле спровођења одредаба става 1. овог члана, у обзир се узимају препоруке Европске Комисије о толерантним вред</w:t>
      </w:r>
      <w:r>
        <w:rPr>
          <w:color w:val="000000"/>
        </w:rPr>
        <w:t>ностима одступања за декларисане вредности нутријената.</w:t>
      </w:r>
    </w:p>
    <w:p w:rsidR="008875F4" w:rsidRDefault="00D02735">
      <w:pPr>
        <w:spacing w:after="150"/>
      </w:pPr>
      <w:r>
        <w:rPr>
          <w:color w:val="000000"/>
        </w:rPr>
        <w:t>Проценат референтних вредности за витамине и минерале из члана 8. став 3. овог правилника, може се такође приказати и у графичкој форми.</w:t>
      </w:r>
    </w:p>
    <w:p w:rsidR="008875F4" w:rsidRDefault="00D02735">
      <w:pPr>
        <w:spacing w:after="120"/>
        <w:jc w:val="center"/>
      </w:pPr>
      <w:r>
        <w:rPr>
          <w:color w:val="000000"/>
        </w:rPr>
        <w:t>Члан 10.</w:t>
      </w:r>
    </w:p>
    <w:p w:rsidR="008875F4" w:rsidRDefault="00D02735">
      <w:pPr>
        <w:spacing w:after="150"/>
      </w:pPr>
      <w:r>
        <w:rPr>
          <w:color w:val="000000"/>
        </w:rPr>
        <w:t>На декларацији додатaка исхрани код којих је енергетск</w:t>
      </w:r>
      <w:r>
        <w:rPr>
          <w:color w:val="000000"/>
        </w:rPr>
        <w:t>а вредност у дневној дози мања од 50 kJ (12 kcal), није обавезно истицати таблицу са нутритивном и енергетском вредношћу као ни изражавање количине састојака на 100 g производа.</w:t>
      </w:r>
    </w:p>
    <w:p w:rsidR="008875F4" w:rsidRDefault="00D02735">
      <w:pPr>
        <w:spacing w:after="120"/>
        <w:jc w:val="center"/>
      </w:pPr>
      <w:r>
        <w:rPr>
          <w:b/>
          <w:color w:val="000000"/>
        </w:rPr>
        <w:t>Садржај додатака исхрани</w:t>
      </w:r>
    </w:p>
    <w:p w:rsidR="008875F4" w:rsidRDefault="00D02735">
      <w:pPr>
        <w:spacing w:after="120"/>
        <w:jc w:val="center"/>
      </w:pPr>
      <w:r>
        <w:rPr>
          <w:color w:val="000000"/>
        </w:rPr>
        <w:t>Члан 11.</w:t>
      </w:r>
    </w:p>
    <w:p w:rsidR="008875F4" w:rsidRDefault="00D02735">
      <w:pPr>
        <w:spacing w:after="150"/>
      </w:pPr>
      <w:r>
        <w:rPr>
          <w:color w:val="000000"/>
        </w:rPr>
        <w:t xml:space="preserve">Додаци исхрани као активни састојак могу да </w:t>
      </w:r>
      <w:r>
        <w:rPr>
          <w:color w:val="000000"/>
        </w:rPr>
        <w:t>садрже биљке, биљне сировине, препарате биљних сировина, или састојке изоловане из биљних сировина, појединачно или као мешавину.</w:t>
      </w:r>
    </w:p>
    <w:p w:rsidR="008875F4" w:rsidRDefault="00D02735">
      <w:pPr>
        <w:spacing w:after="150"/>
      </w:pPr>
      <w:r>
        <w:rPr>
          <w:color w:val="000000"/>
        </w:rPr>
        <w:t>Биљни додаци исхрани могу да садрже намирнице биљног порекла (воће, поврће), зачинске, ароматичне и лековите биљке, њихове орг</w:t>
      </w:r>
      <w:r>
        <w:rPr>
          <w:color w:val="000000"/>
        </w:rPr>
        <w:t>ане или делове, њихове продукте (смоле, гуме, слузи и др.) или препарате биљних сировина (спрашени облици, масно уље, етарско уље, биљни сок, екстракти), смеше састојака или изолована једињења из биљака.</w:t>
      </w:r>
    </w:p>
    <w:p w:rsidR="008875F4" w:rsidRDefault="00D02735">
      <w:pPr>
        <w:spacing w:after="120"/>
        <w:jc w:val="center"/>
      </w:pPr>
      <w:r>
        <w:rPr>
          <w:color w:val="000000"/>
        </w:rPr>
        <w:t>Члан 12.</w:t>
      </w:r>
    </w:p>
    <w:p w:rsidR="008875F4" w:rsidRDefault="00D02735">
      <w:pPr>
        <w:spacing w:after="150"/>
      </w:pPr>
      <w:r>
        <w:rPr>
          <w:color w:val="000000"/>
        </w:rPr>
        <w:t>Када додатак исхрани садржи биљке, биљне си</w:t>
      </w:r>
      <w:r>
        <w:rPr>
          <w:color w:val="000000"/>
        </w:rPr>
        <w:t>ровине, препарате биљних сировина или састојке изоловане из биљног материјала, њихова количина у дневној дози производа не треба да буде мања од 15% и већа од 65% у односу на познату најнижу терапијску дневну дозу те биљне сировине или препарата, како је т</w:t>
      </w:r>
      <w:r>
        <w:rPr>
          <w:color w:val="000000"/>
        </w:rPr>
        <w:t>о дефинисано у монографијама Европске агенције за лекове (EMA), Европског научног удружења за фитотерапију (ESCOP), Светске здравствене организације (WHO), немачке Комисије E i Physicians Desk Reference for Herbal Medicines.</w:t>
      </w:r>
    </w:p>
    <w:p w:rsidR="008875F4" w:rsidRDefault="00D02735">
      <w:pPr>
        <w:spacing w:after="120"/>
        <w:jc w:val="center"/>
      </w:pPr>
      <w:r>
        <w:rPr>
          <w:color w:val="000000"/>
        </w:rPr>
        <w:t>Члан 13.</w:t>
      </w:r>
    </w:p>
    <w:p w:rsidR="008875F4" w:rsidRDefault="00D02735">
      <w:pPr>
        <w:spacing w:after="150"/>
      </w:pPr>
      <w:r>
        <w:rPr>
          <w:color w:val="000000"/>
        </w:rPr>
        <w:t>Додаци исхрани не смеј</w:t>
      </w:r>
      <w:r>
        <w:rPr>
          <w:color w:val="000000"/>
        </w:rPr>
        <w:t xml:space="preserve">у да садрже биљке, делове биљака или препарате биљака које садрже састојке јаке фармаколошке активности, без обзира на </w:t>
      </w:r>
      <w:r>
        <w:rPr>
          <w:color w:val="000000"/>
        </w:rPr>
        <w:lastRenderedPageBreak/>
        <w:t>њихов удео у производу, као ни биљке, делове биљака или препарате биљака за које постоје релевантни подаци да имају штетно деловање на зд</w:t>
      </w:r>
      <w:r>
        <w:rPr>
          <w:color w:val="000000"/>
        </w:rPr>
        <w:t>равље људи.</w:t>
      </w:r>
    </w:p>
    <w:p w:rsidR="008875F4" w:rsidRDefault="00D02735">
      <w:pPr>
        <w:spacing w:after="120"/>
        <w:jc w:val="center"/>
      </w:pPr>
      <w:r>
        <w:rPr>
          <w:color w:val="000000"/>
        </w:rPr>
        <w:t>Члан 14.</w:t>
      </w:r>
    </w:p>
    <w:p w:rsidR="008875F4" w:rsidRDefault="00D02735">
      <w:pPr>
        <w:spacing w:after="150"/>
      </w:pPr>
      <w:r>
        <w:rPr>
          <w:color w:val="000000"/>
        </w:rPr>
        <w:t>Препарати биљних сировина морају бити произведени у складу с добром произвођачком праксом од биљних сировина које су произведене у складу с добром ратарском производњом и добром праксом сакупљања лековитих биљака.</w:t>
      </w:r>
    </w:p>
    <w:p w:rsidR="008875F4" w:rsidRDefault="00D02735">
      <w:pPr>
        <w:spacing w:after="150"/>
      </w:pPr>
      <w:r>
        <w:rPr>
          <w:color w:val="000000"/>
        </w:rPr>
        <w:t>Сировине које се кори</w:t>
      </w:r>
      <w:r>
        <w:rPr>
          <w:color w:val="000000"/>
        </w:rPr>
        <w:t>сте за израду биљних додатака исхрани морају задовољавати услове здравствене исправности и квалитета у складу са захтевима посебних правилника о квалитету намирница, фармакопеје, техничких стандарда (SRPS, ISO), интерних стандарда произвођача или других ад</w:t>
      </w:r>
      <w:r>
        <w:rPr>
          <w:color w:val="000000"/>
        </w:rPr>
        <w:t>екватних стандарда.</w:t>
      </w:r>
    </w:p>
    <w:p w:rsidR="008875F4" w:rsidRDefault="00D02735">
      <w:pPr>
        <w:spacing w:after="120"/>
        <w:jc w:val="center"/>
      </w:pPr>
      <w:r>
        <w:rPr>
          <w:color w:val="000000"/>
        </w:rPr>
        <w:t>Члан 15.</w:t>
      </w:r>
    </w:p>
    <w:p w:rsidR="008875F4" w:rsidRDefault="00D02735">
      <w:pPr>
        <w:spacing w:after="150"/>
      </w:pPr>
      <w:r>
        <w:rPr>
          <w:color w:val="000000"/>
        </w:rPr>
        <w:t>На декларацији додатка исхрани који садржи биљке, биљне сировине, препарате биљних сировина, или састојке изоловане из биљног материјала морају бити наведени тачан назив биљке, дела биљке или препарата на српском и латинском је</w:t>
      </w:r>
      <w:r>
        <w:rPr>
          <w:color w:val="000000"/>
        </w:rPr>
        <w:t>зику, као и њен удео у производу.</w:t>
      </w:r>
    </w:p>
    <w:p w:rsidR="008875F4" w:rsidRDefault="00D02735">
      <w:pPr>
        <w:spacing w:after="150"/>
      </w:pPr>
      <w:r>
        <w:rPr>
          <w:color w:val="000000"/>
        </w:rPr>
        <w:t>На декларацији додатка исхрани који садржи један или смешу биљних екстраката, наводе се подаци о биљном материјалу и типу екстракта (суви, получврсти, течни), јачина (однос сировина: екстракт; коришћен растварач за екстрак</w:t>
      </w:r>
      <w:r>
        <w:rPr>
          <w:color w:val="000000"/>
        </w:rPr>
        <w:t>цију) или стандардизација екстракта (количина неког састојка).</w:t>
      </w:r>
    </w:p>
    <w:p w:rsidR="008875F4" w:rsidRDefault="00D02735">
      <w:pPr>
        <w:spacing w:after="120"/>
        <w:jc w:val="center"/>
      </w:pPr>
      <w:r>
        <w:rPr>
          <w:color w:val="000000"/>
        </w:rPr>
        <w:t>Члан 16.</w:t>
      </w:r>
    </w:p>
    <w:p w:rsidR="008875F4" w:rsidRDefault="00D02735">
      <w:pPr>
        <w:spacing w:after="150"/>
      </w:pPr>
      <w:r>
        <w:rPr>
          <w:color w:val="000000"/>
        </w:rPr>
        <w:t>У циљу означавања намене биљног додатка исхрани, могу се користити здравствене изјаве које се налазе на Листи одобрених здравствених изјава, као и оне које се не налазе на Листи одобре</w:t>
      </w:r>
      <w:r>
        <w:rPr>
          <w:color w:val="000000"/>
        </w:rPr>
        <w:t>них здравствених изјава, а налазе се у процесу евалуације у Европској унији (из Регистра питања упућених EFSA-и, енгл. „on hold” изјаве), и разматрају се у складу са процедуром провере усклађености здравствене изјаве на производу са условима утврђеним у пр</w:t>
      </w:r>
      <w:r>
        <w:rPr>
          <w:color w:val="000000"/>
        </w:rPr>
        <w:t>опису којим се уређују прехрамбене и здравствене изјаве које се налазе на декларацији хране.</w:t>
      </w:r>
    </w:p>
    <w:p w:rsidR="008875F4" w:rsidRDefault="00D02735">
      <w:pPr>
        <w:spacing w:after="150"/>
      </w:pPr>
      <w:r>
        <w:rPr>
          <w:color w:val="000000"/>
        </w:rPr>
        <w:t>Уколико након завршеног разматрања, „on hold” изјава буде одбијена од стране EFSA-e, субјекат у пословању храном усклађује изјаве са условима који су утврђени проп</w:t>
      </w:r>
      <w:r>
        <w:rPr>
          <w:color w:val="000000"/>
        </w:rPr>
        <w:t>исом из става 1. овог члана.</w:t>
      </w:r>
    </w:p>
    <w:p w:rsidR="008875F4" w:rsidRDefault="00D02735">
      <w:pPr>
        <w:spacing w:after="120"/>
        <w:jc w:val="center"/>
      </w:pPr>
      <w:r>
        <w:rPr>
          <w:color w:val="000000"/>
        </w:rPr>
        <w:t>Члан 17.</w:t>
      </w:r>
    </w:p>
    <w:p w:rsidR="008875F4" w:rsidRDefault="00D02735">
      <w:pPr>
        <w:spacing w:after="150"/>
      </w:pPr>
      <w:r>
        <w:rPr>
          <w:color w:val="000000"/>
        </w:rPr>
        <w:t>За састојке додатака исхрани који су категорисани као нова храна, важе услови које регулише пропис о новој храни.</w:t>
      </w:r>
    </w:p>
    <w:p w:rsidR="008875F4" w:rsidRDefault="00D02735">
      <w:pPr>
        <w:spacing w:after="120"/>
        <w:jc w:val="center"/>
      </w:pPr>
      <w:r>
        <w:rPr>
          <w:b/>
          <w:color w:val="000000"/>
        </w:rPr>
        <w:t>Субјекти у пословању храном</w:t>
      </w:r>
    </w:p>
    <w:p w:rsidR="008875F4" w:rsidRDefault="00D02735">
      <w:pPr>
        <w:spacing w:after="120"/>
        <w:jc w:val="center"/>
      </w:pPr>
      <w:r>
        <w:rPr>
          <w:color w:val="000000"/>
        </w:rPr>
        <w:t>Члан 18.</w:t>
      </w:r>
    </w:p>
    <w:p w:rsidR="008875F4" w:rsidRDefault="00D02735">
      <w:pPr>
        <w:spacing w:after="150"/>
      </w:pPr>
      <w:r>
        <w:rPr>
          <w:color w:val="000000"/>
        </w:rPr>
        <w:lastRenderedPageBreak/>
        <w:t>Субјекат у пословању храном пре увоза, односно стављања у промет до</w:t>
      </w:r>
      <w:r>
        <w:rPr>
          <w:color w:val="000000"/>
        </w:rPr>
        <w:t>датка исхрани на територију Републике Србије подноси захтев за упис додатка исхрани у базу података коју води иностранство надлежно за послове здравља (у даљем тексту: база података).</w:t>
      </w:r>
    </w:p>
    <w:p w:rsidR="008875F4" w:rsidRDefault="00D02735">
      <w:pPr>
        <w:spacing w:after="150"/>
      </w:pPr>
      <w:r>
        <w:rPr>
          <w:color w:val="000000"/>
        </w:rPr>
        <w:t>Субјекат у пословању храном уз захтев за упис додатка исхрани у базу под</w:t>
      </w:r>
      <w:r>
        <w:rPr>
          <w:color w:val="000000"/>
        </w:rPr>
        <w:t>атака доставља следећу документацију:</w:t>
      </w:r>
    </w:p>
    <w:p w:rsidR="008875F4" w:rsidRDefault="00D02735">
      <w:pPr>
        <w:spacing w:after="150"/>
      </w:pPr>
      <w:r>
        <w:rPr>
          <w:color w:val="000000"/>
        </w:rPr>
        <w:t>1) стручно мишљење и категоризацију Фармацеутског факултета Универзитета у Београду или Фармацеутског факултета Нови Сад Универзитета Привредна академија у Новом Саду;</w:t>
      </w:r>
    </w:p>
    <w:p w:rsidR="008875F4" w:rsidRDefault="00D02735">
      <w:pPr>
        <w:spacing w:after="150"/>
      </w:pPr>
      <w:r>
        <w:rPr>
          <w:color w:val="000000"/>
        </w:rPr>
        <w:t>2) текст декларације одобрен од стране Фармацеутск</w:t>
      </w:r>
      <w:r>
        <w:rPr>
          <w:color w:val="000000"/>
        </w:rPr>
        <w:t>ог факултета Универзитета у Београду или Фармацеутског факултета Нови Сад Универзитета Привредна академија у Новом Саду;</w:t>
      </w:r>
    </w:p>
    <w:p w:rsidR="008875F4" w:rsidRDefault="00D02735">
      <w:pPr>
        <w:spacing w:after="150"/>
      </w:pPr>
      <w:r>
        <w:rPr>
          <w:color w:val="000000"/>
        </w:rPr>
        <w:t>3) стручно мишљење и аналитички извештај здравствене установе о здравственој исправности додатка исхрани (Институт за јавно здравље Срб</w:t>
      </w:r>
      <w:r>
        <w:rPr>
          <w:color w:val="000000"/>
        </w:rPr>
        <w:t>ије „Др Милан Јовановић Батут”, Институт за јавно здравље Војводине, Институт за јавно здравље Ниш, Институт за јавно здравље Крагујевац, Градски завод за јавно здравље Београд или Институт за хигијену Војномедицинске академије у Београду);</w:t>
      </w:r>
    </w:p>
    <w:p w:rsidR="008875F4" w:rsidRDefault="00D02735">
      <w:pPr>
        <w:spacing w:after="150"/>
      </w:pPr>
      <w:r>
        <w:rPr>
          <w:color w:val="000000"/>
        </w:rPr>
        <w:t>4) сертификат н</w:t>
      </w:r>
      <w:r>
        <w:rPr>
          <w:color w:val="000000"/>
        </w:rPr>
        <w:t>адлежног органа да је додатак исхрани произведен у складу са принципима анализе опасности и критичних контролних тачака (HACCP) и/или добре произвођачке праксе (GMP) и добре хигијенске праксе (GHP);</w:t>
      </w:r>
    </w:p>
    <w:p w:rsidR="008875F4" w:rsidRDefault="00D02735">
      <w:pPr>
        <w:spacing w:after="150"/>
      </w:pPr>
      <w:r>
        <w:rPr>
          <w:color w:val="000000"/>
        </w:rPr>
        <w:t xml:space="preserve">5) за производе из увоза који се налазе на тржишту земље </w:t>
      </w:r>
      <w:r>
        <w:rPr>
          <w:color w:val="000000"/>
        </w:rPr>
        <w:t>произвођача или у земљи чланици ЕУ, потврду надлежног државног органа да се додатак исхрани налази у промету у земљи произвођача или да се налази у промету у земљи чланици ЕУ („free sale certificate”);</w:t>
      </w:r>
    </w:p>
    <w:p w:rsidR="008875F4" w:rsidRDefault="00D02735">
      <w:pPr>
        <w:spacing w:after="150"/>
      </w:pPr>
      <w:r>
        <w:rPr>
          <w:color w:val="000000"/>
        </w:rPr>
        <w:t xml:space="preserve">6) изјаву произвођача да додатак исхрани не садржи </w:t>
      </w:r>
      <w:r>
        <w:rPr>
          <w:color w:val="000000"/>
        </w:rPr>
        <w:t>генетички модификоване микроорганизаме (GMO) и сировине ризичне од спонгиформне енцефалопатије говеда и других трансмисивних спонгиформних енцефалопатија (BSE/TSE);</w:t>
      </w:r>
    </w:p>
    <w:p w:rsidR="008875F4" w:rsidRDefault="00D02735">
      <w:pPr>
        <w:spacing w:after="150"/>
      </w:pPr>
      <w:r>
        <w:rPr>
          <w:color w:val="000000"/>
        </w:rPr>
        <w:t>7) фотокопију решења, односно записника санитарног инспектора о испуњености општих и посебн</w:t>
      </w:r>
      <w:r>
        <w:rPr>
          <w:color w:val="000000"/>
        </w:rPr>
        <w:t>их санитарно-хигијенских услова за производњу додатака исхрани и записник санитарног инспектора да је додатак исхрани произведен у складу са принципима анализе опасности и критичних контролних тачака (HACCP), за произвођаче у Републици Србији;</w:t>
      </w:r>
    </w:p>
    <w:p w:rsidR="008875F4" w:rsidRDefault="00D02735">
      <w:pPr>
        <w:spacing w:after="150"/>
      </w:pPr>
      <w:r>
        <w:rPr>
          <w:color w:val="000000"/>
        </w:rPr>
        <w:t xml:space="preserve">8) </w:t>
      </w:r>
      <w:r>
        <w:rPr>
          <w:color w:val="000000"/>
        </w:rPr>
        <w:t>фотокопију уписа у Регистар Агенције за привредне регистре Србије или фотокопију последње промене у Агенцији за привредне регистре Србије;</w:t>
      </w:r>
    </w:p>
    <w:p w:rsidR="008875F4" w:rsidRDefault="00D02735">
      <w:pPr>
        <w:spacing w:after="150"/>
      </w:pPr>
      <w:r>
        <w:rPr>
          <w:color w:val="000000"/>
        </w:rPr>
        <w:t>9) фотокопију уплатнице као доказ за покривање трошкова поступка уписа додатка исхрани у базу података министарства н</w:t>
      </w:r>
      <w:r>
        <w:rPr>
          <w:color w:val="000000"/>
        </w:rPr>
        <w:t>адлежног за послове здравља (у даљем тексту: Министарство);</w:t>
      </w:r>
    </w:p>
    <w:p w:rsidR="008875F4" w:rsidRDefault="00D02735">
      <w:pPr>
        <w:spacing w:after="150"/>
      </w:pPr>
      <w:r>
        <w:rPr>
          <w:color w:val="000000"/>
        </w:rPr>
        <w:lastRenderedPageBreak/>
        <w:t>10) податке о увознику и произвођачу (пун назив привредног субјекта, име и презиме одговорног лица, адреса: место, улица и број, телефон, факс, имејл, интернет адреса);</w:t>
      </w:r>
    </w:p>
    <w:p w:rsidR="008875F4" w:rsidRDefault="00D02735">
      <w:pPr>
        <w:spacing w:after="150"/>
      </w:pPr>
      <w:r>
        <w:rPr>
          <w:color w:val="000000"/>
        </w:rPr>
        <w:t>11) изјаву да су копије док</w:t>
      </w:r>
      <w:r>
        <w:rPr>
          <w:color w:val="000000"/>
        </w:rPr>
        <w:t>ументације из тач. 1)–9) овог члана веродостојне оригиналу.</w:t>
      </w:r>
    </w:p>
    <w:p w:rsidR="008875F4" w:rsidRDefault="00D02735">
      <w:pPr>
        <w:spacing w:after="150"/>
      </w:pPr>
      <w:r>
        <w:rPr>
          <w:color w:val="000000"/>
        </w:rPr>
        <w:t xml:space="preserve">Подносилац захтева за упис додатка исхрани у базу података, документацију из става 2. овог члана доставља у виду фотокопије оригинала, а доказе из тач. 4), 5) и 6) овога члана и на српском језику </w:t>
      </w:r>
      <w:r>
        <w:rPr>
          <w:color w:val="000000"/>
        </w:rPr>
        <w:t>(превод на српски језик од стране овлашћеног судског преводиоца).</w:t>
      </w:r>
    </w:p>
    <w:p w:rsidR="008875F4" w:rsidRDefault="00D02735">
      <w:pPr>
        <w:spacing w:after="150"/>
      </w:pPr>
      <w:r>
        <w:rPr>
          <w:color w:val="000000"/>
        </w:rPr>
        <w:t>Образац захтева за упис додатка исхрани у базу података коју води Министарство дат је у Прилогу VI. који је одштампан уз овај правилник и чини његов саставни део.</w:t>
      </w:r>
    </w:p>
    <w:p w:rsidR="008875F4" w:rsidRDefault="00D02735">
      <w:pPr>
        <w:spacing w:after="150"/>
      </w:pPr>
      <w:r>
        <w:rPr>
          <w:color w:val="000000"/>
        </w:rPr>
        <w:t>Ако субјекат у пословању хр</w:t>
      </w:r>
      <w:r>
        <w:rPr>
          <w:color w:val="000000"/>
        </w:rPr>
        <w:t>аном врши промену основних података (пословно име, седиште, ПИБ, шифра делатности, подаци о огранку или други податак битан за обављање делатности) о било ком привредном субјекту у ланцу снабдевања (произвођач, увозник, дистрибутер), или додаје нове субјек</w:t>
      </w:r>
      <w:r>
        <w:rPr>
          <w:color w:val="000000"/>
        </w:rPr>
        <w:t>те у пословању храном који ће вршити промет производа, уз захтев за измену уверења, доставља прилоге из става 2. тач. 2)–4) и тач. 8)–9) овог члана, копију уверења о упису додатка исхрани у базу података Министарства и писмену изјаву носиоца уписа у базу п</w:t>
      </w:r>
      <w:r>
        <w:rPr>
          <w:color w:val="000000"/>
        </w:rPr>
        <w:t>одатака да је сагласан са уписом субјекта у пословању храном који ће вршити промет истог додатка исхрани.</w:t>
      </w:r>
    </w:p>
    <w:p w:rsidR="008875F4" w:rsidRDefault="00D02735">
      <w:pPr>
        <w:spacing w:after="150"/>
      </w:pPr>
      <w:r>
        <w:rPr>
          <w:color w:val="000000"/>
        </w:rPr>
        <w:t>Ако субјекат у пословању храном врши промене у саставу производа или промене назива производа, облик производа, а који не утичу на карактеристике и ка</w:t>
      </w:r>
      <w:r>
        <w:rPr>
          <w:color w:val="000000"/>
        </w:rPr>
        <w:t>тегоризацију производа, уз захтев за измену уверења, доставља копију уверења о упису додатка исхрани у базу података и прилоге из става 2. тачка 2) и тач. 8)–9) овог члана.</w:t>
      </w:r>
    </w:p>
    <w:p w:rsidR="008875F4" w:rsidRDefault="00D02735">
      <w:pPr>
        <w:spacing w:after="150"/>
      </w:pPr>
      <w:r>
        <w:rPr>
          <w:color w:val="000000"/>
        </w:rPr>
        <w:t xml:space="preserve">Уколико субјекат у пословању храном врши промене у саставу производа, неопходно је </w:t>
      </w:r>
      <w:r>
        <w:rPr>
          <w:color w:val="000000"/>
        </w:rPr>
        <w:t>да достави документацију из тач. 1)–3) овог члана:</w:t>
      </w:r>
    </w:p>
    <w:p w:rsidR="008875F4" w:rsidRDefault="00D02735">
      <w:pPr>
        <w:spacing w:after="150"/>
      </w:pPr>
      <w:r>
        <w:rPr>
          <w:color w:val="000000"/>
        </w:rPr>
        <w:t>1) стручно мишљење и категоризацију Фармацеутског факултета Универзитета у Београду или Фармацеутског факултета Нови Сад Универзитета Привредна академија у Новом Саду;</w:t>
      </w:r>
    </w:p>
    <w:p w:rsidR="008875F4" w:rsidRDefault="00D02735">
      <w:pPr>
        <w:spacing w:after="150"/>
      </w:pPr>
      <w:r>
        <w:rPr>
          <w:color w:val="000000"/>
        </w:rPr>
        <w:t>2) текст декларације одобрен од стран</w:t>
      </w:r>
      <w:r>
        <w:rPr>
          <w:color w:val="000000"/>
        </w:rPr>
        <w:t>е Фармацеутског факултета Универзитета у Београду или Фармацеутског факултета Нови Сад Универзитета Привредна академија у Новом Саду;</w:t>
      </w:r>
    </w:p>
    <w:p w:rsidR="008875F4" w:rsidRDefault="00D02735">
      <w:pPr>
        <w:spacing w:after="150"/>
      </w:pPr>
      <w:r>
        <w:rPr>
          <w:color w:val="000000"/>
        </w:rPr>
        <w:t>3) стручно мишљење и аналитички извештај здравствене установе о здравственој исправности додатка исхрани (Институт за јавн</w:t>
      </w:r>
      <w:r>
        <w:rPr>
          <w:color w:val="000000"/>
        </w:rPr>
        <w:t>о здравље Србије „Др Милан Јовановић Батут”, Институт за јавно здравље Војводине, Институт за јавно здравље Ниш, Институт за јавно здравље Крагујевац, Градски завод за јавно здравље Београд или Институт за хигијену Војномедицинске академије у Београду);</w:t>
      </w:r>
    </w:p>
    <w:p w:rsidR="008875F4" w:rsidRDefault="00D02735">
      <w:pPr>
        <w:spacing w:after="150"/>
      </w:pPr>
      <w:r>
        <w:rPr>
          <w:color w:val="000000"/>
        </w:rPr>
        <w:lastRenderedPageBreak/>
        <w:t>Ак</w:t>
      </w:r>
      <w:r>
        <w:rPr>
          <w:color w:val="000000"/>
        </w:rPr>
        <w:t>о субјекат у пословању храном врши продужење уписа додатка исхрани, захтев подноси најраније 60 дана пре истека рока уверења о упису додатка исхрани у базу података, а најкасније даном истека рока уписа. Субјекат у пословању храном уз захтев за продужење у</w:t>
      </w:r>
      <w:r>
        <w:rPr>
          <w:color w:val="000000"/>
        </w:rPr>
        <w:t>писа додатка исхрани у базу података за наредних пет година, доставља:</w:t>
      </w:r>
    </w:p>
    <w:p w:rsidR="008875F4" w:rsidRDefault="00D02735">
      <w:pPr>
        <w:spacing w:after="150"/>
      </w:pPr>
      <w:r>
        <w:rPr>
          <w:color w:val="000000"/>
        </w:rPr>
        <w:t>1) копију уверења о упису додатка исхрани у базу података Министарства,</w:t>
      </w:r>
    </w:p>
    <w:p w:rsidR="008875F4" w:rsidRDefault="00D02735">
      <w:pPr>
        <w:spacing w:after="150"/>
      </w:pPr>
      <w:r>
        <w:rPr>
          <w:color w:val="000000"/>
        </w:rPr>
        <w:t>2) изјаву субјекта у пословању храном да производ испуњава захтеве важећих прописа Републици Србији,</w:t>
      </w:r>
    </w:p>
    <w:p w:rsidR="008875F4" w:rsidRDefault="00D02735">
      <w:pPr>
        <w:spacing w:after="150"/>
      </w:pPr>
      <w:r>
        <w:rPr>
          <w:color w:val="000000"/>
        </w:rPr>
        <w:t>3) изјаву су</w:t>
      </w:r>
      <w:r>
        <w:rPr>
          <w:color w:val="000000"/>
        </w:rPr>
        <w:t>бјекта у пословању храном о истоветним условима производње у смислу захтева дефинисаних у ставу 2. тач. 4)–7) овог члана,</w:t>
      </w:r>
    </w:p>
    <w:p w:rsidR="008875F4" w:rsidRDefault="00D02735">
      <w:pPr>
        <w:spacing w:after="150"/>
      </w:pPr>
      <w:r>
        <w:rPr>
          <w:color w:val="000000"/>
        </w:rPr>
        <w:t>4) прилоге из става 2. тач. 1)–3) и тач. 8)–9) овог члана.</w:t>
      </w:r>
    </w:p>
    <w:p w:rsidR="008875F4" w:rsidRDefault="00D02735">
      <w:pPr>
        <w:spacing w:after="120"/>
        <w:jc w:val="center"/>
      </w:pPr>
      <w:r>
        <w:rPr>
          <w:color w:val="000000"/>
        </w:rPr>
        <w:t>Члан 19.</w:t>
      </w:r>
    </w:p>
    <w:p w:rsidR="008875F4" w:rsidRDefault="00D02735">
      <w:pPr>
        <w:spacing w:after="150"/>
      </w:pPr>
      <w:r>
        <w:rPr>
          <w:color w:val="000000"/>
        </w:rPr>
        <w:t>Субјекат у пословању храном ради добијања стручног мишљења и катег</w:t>
      </w:r>
      <w:r>
        <w:rPr>
          <w:color w:val="000000"/>
        </w:rPr>
        <w:t>оризације додатка исхрани из члана 22. став 2. тачка 1) овог правилника доставља Фармацеутском факултету Универзитета у Београду или Фармацеутском факултету Нови Сад Универзитета Привредна академија у Новом Саду следећу документацију:</w:t>
      </w:r>
    </w:p>
    <w:p w:rsidR="008875F4" w:rsidRDefault="00D02735">
      <w:pPr>
        <w:spacing w:after="150"/>
      </w:pPr>
      <w:r>
        <w:rPr>
          <w:color w:val="000000"/>
        </w:rPr>
        <w:t>1) квалитативни и ква</w:t>
      </w:r>
      <w:r>
        <w:rPr>
          <w:color w:val="000000"/>
        </w:rPr>
        <w:t>нтитативни састав додатка исхрани;</w:t>
      </w:r>
    </w:p>
    <w:p w:rsidR="008875F4" w:rsidRDefault="00D02735">
      <w:pPr>
        <w:spacing w:after="150"/>
      </w:pPr>
      <w:r>
        <w:rPr>
          <w:color w:val="000000"/>
        </w:rPr>
        <w:t>2) спецификацију сировина и порекло сировина;</w:t>
      </w:r>
    </w:p>
    <w:p w:rsidR="008875F4" w:rsidRDefault="00D02735">
      <w:pPr>
        <w:spacing w:after="150"/>
      </w:pPr>
      <w:r>
        <w:rPr>
          <w:color w:val="000000"/>
        </w:rPr>
        <w:t>3) упутство о намени и начину примене додатка исхрани;</w:t>
      </w:r>
    </w:p>
    <w:p w:rsidR="008875F4" w:rsidRDefault="00D02735">
      <w:pPr>
        <w:spacing w:after="150"/>
      </w:pPr>
      <w:r>
        <w:rPr>
          <w:color w:val="000000"/>
        </w:rPr>
        <w:t>4) ограничења за употребу и посебна упозорења за додатак исхрани (ако постоје);</w:t>
      </w:r>
    </w:p>
    <w:p w:rsidR="008875F4" w:rsidRDefault="00D02735">
      <w:pPr>
        <w:spacing w:after="150"/>
      </w:pPr>
      <w:r>
        <w:rPr>
          <w:color w:val="000000"/>
        </w:rPr>
        <w:t>5) декларацију додатка исхрани;</w:t>
      </w:r>
    </w:p>
    <w:p w:rsidR="008875F4" w:rsidRDefault="00D02735">
      <w:pPr>
        <w:spacing w:after="150"/>
      </w:pPr>
      <w:r>
        <w:rPr>
          <w:color w:val="000000"/>
        </w:rPr>
        <w:t>6) идејн</w:t>
      </w:r>
      <w:r>
        <w:rPr>
          <w:color w:val="000000"/>
        </w:rPr>
        <w:t>о решење амбалаже са сликовним знаком.</w:t>
      </w:r>
    </w:p>
    <w:p w:rsidR="008875F4" w:rsidRDefault="00D02735">
      <w:pPr>
        <w:spacing w:after="150"/>
      </w:pPr>
      <w:r>
        <w:rPr>
          <w:color w:val="000000"/>
        </w:rPr>
        <w:t>Документација из става 1. овог члана доставља се у виду фотокопије оригинала на српском или енглеском језику.</w:t>
      </w:r>
    </w:p>
    <w:p w:rsidR="008875F4" w:rsidRDefault="00D02735">
      <w:pPr>
        <w:spacing w:after="150"/>
      </w:pPr>
      <w:r>
        <w:rPr>
          <w:color w:val="000000"/>
        </w:rPr>
        <w:t xml:space="preserve">Фармацеутски факултет Универзитета у Београду или Фармацеутски факултет Нови Сад Универзитета Привредна </w:t>
      </w:r>
      <w:r>
        <w:rPr>
          <w:color w:val="000000"/>
        </w:rPr>
        <w:t>академија у Новом Саду дају стручно мишљење и категоризацију производа из члана 22. став 2. тач. 1) и 2) овог правилника у року прописаном законом.</w:t>
      </w:r>
    </w:p>
    <w:p w:rsidR="008875F4" w:rsidRDefault="00D02735">
      <w:pPr>
        <w:spacing w:after="150"/>
      </w:pPr>
      <w:r>
        <w:rPr>
          <w:color w:val="000000"/>
        </w:rPr>
        <w:t>Фармацеутски факултет Универзитета у Београду или Фармацеутски факултет Нови Сад Универзитета Привредна акад</w:t>
      </w:r>
      <w:r>
        <w:rPr>
          <w:color w:val="000000"/>
        </w:rPr>
        <w:t>емија у Новом Саду у поступку израде стручног мишљења и категоризације производа који као активни састојак садрже биљке, биљне сировине, препарате биљних сировина или састојке изоловане из биљних материјала који се уобичајено не користе у исхрани, у обавез</w:t>
      </w:r>
      <w:r>
        <w:rPr>
          <w:color w:val="000000"/>
        </w:rPr>
        <w:t>и је да од Агенције за лекове и медицинска средства Србије прибавља стручно мишљење да производ није лек.</w:t>
      </w:r>
    </w:p>
    <w:p w:rsidR="008875F4" w:rsidRDefault="00D02735">
      <w:pPr>
        <w:spacing w:after="150"/>
      </w:pPr>
      <w:r>
        <w:rPr>
          <w:color w:val="000000"/>
        </w:rPr>
        <w:lastRenderedPageBreak/>
        <w:t>Образац захтева који се подноси Фармацеутском факултету ради добијања стручног мишљења, категоризације и одобрења додатка исхрани дат је у Прилогу VII</w:t>
      </w:r>
      <w:r>
        <w:rPr>
          <w:color w:val="000000"/>
        </w:rPr>
        <w:t>. који је одштампан уз овај правилник и чини његов саставни део.</w:t>
      </w:r>
    </w:p>
    <w:p w:rsidR="008875F4" w:rsidRDefault="00D02735">
      <w:pPr>
        <w:spacing w:after="120"/>
        <w:jc w:val="center"/>
      </w:pPr>
      <w:r>
        <w:rPr>
          <w:color w:val="000000"/>
        </w:rPr>
        <w:t>Члан 20.</w:t>
      </w:r>
    </w:p>
    <w:p w:rsidR="008875F4" w:rsidRDefault="00D02735">
      <w:pPr>
        <w:spacing w:after="150"/>
      </w:pPr>
      <w:r>
        <w:rPr>
          <w:color w:val="000000"/>
        </w:rPr>
        <w:t>Увозник, односно произвођач додатка исхрани ради добијања стручног мишљења о здравственој исправности додатка исхрани подноси здравственој установи из члана 22. став 2. тачка 2) овог</w:t>
      </w:r>
      <w:r>
        <w:rPr>
          <w:color w:val="000000"/>
        </w:rPr>
        <w:t xml:space="preserve"> правилника следећу документацију:</w:t>
      </w:r>
    </w:p>
    <w:p w:rsidR="008875F4" w:rsidRDefault="00D02735">
      <w:pPr>
        <w:spacing w:after="150"/>
      </w:pPr>
      <w:r>
        <w:rPr>
          <w:color w:val="000000"/>
        </w:rPr>
        <w:t>1) стручно мишљење и категоризацију Фармацеутског факултета Универзитета у Београду или Фармацеутског факултета Нови Сад Универзитета Привредна академија у Новом Саду;</w:t>
      </w:r>
    </w:p>
    <w:p w:rsidR="008875F4" w:rsidRDefault="00D02735">
      <w:pPr>
        <w:spacing w:after="150"/>
      </w:pPr>
      <w:r>
        <w:rPr>
          <w:color w:val="000000"/>
        </w:rPr>
        <w:t>2) квалитативни и квантитативни састав додатка исхран</w:t>
      </w:r>
      <w:r>
        <w:rPr>
          <w:color w:val="000000"/>
        </w:rPr>
        <w:t>и;</w:t>
      </w:r>
    </w:p>
    <w:p w:rsidR="008875F4" w:rsidRDefault="00D02735">
      <w:pPr>
        <w:spacing w:after="150"/>
      </w:pPr>
      <w:r>
        <w:rPr>
          <w:color w:val="000000"/>
        </w:rPr>
        <w:t>3) декларацију додатка исхрани.</w:t>
      </w:r>
    </w:p>
    <w:p w:rsidR="008875F4" w:rsidRDefault="00D02735">
      <w:pPr>
        <w:spacing w:after="150"/>
      </w:pPr>
      <w:r>
        <w:rPr>
          <w:color w:val="000000"/>
        </w:rPr>
        <w:t>Документација из става 1. овог члана доставља се у виду фотокопије оригинала на српском језику.</w:t>
      </w:r>
    </w:p>
    <w:p w:rsidR="008875F4" w:rsidRDefault="00D02735">
      <w:pPr>
        <w:spacing w:after="150"/>
      </w:pPr>
      <w:r>
        <w:rPr>
          <w:color w:val="000000"/>
        </w:rPr>
        <w:t>Образац захтева који се подноси здравственој установи ради добијања стручног мишљења о здравственој исправности додатка исхра</w:t>
      </w:r>
      <w:r>
        <w:rPr>
          <w:color w:val="000000"/>
        </w:rPr>
        <w:t>ни дат је у Прилогу VIII. који је одштампан уз овај правилник и чини његов саставни део.</w:t>
      </w:r>
    </w:p>
    <w:p w:rsidR="008875F4" w:rsidRDefault="00D02735">
      <w:pPr>
        <w:spacing w:after="120"/>
        <w:jc w:val="center"/>
      </w:pPr>
      <w:r>
        <w:rPr>
          <w:color w:val="000000"/>
        </w:rPr>
        <w:t>Члан 21.</w:t>
      </w:r>
    </w:p>
    <w:p w:rsidR="008875F4" w:rsidRDefault="00D02735">
      <w:pPr>
        <w:spacing w:after="150"/>
      </w:pPr>
      <w:r>
        <w:rPr>
          <w:color w:val="000000"/>
        </w:rPr>
        <w:t>Поред података утврђених прописом којим се уређује област декларисања, означавања и рекламирања хране, декларација додатка исхрани садржи и:</w:t>
      </w:r>
    </w:p>
    <w:p w:rsidR="008875F4" w:rsidRDefault="00D02735">
      <w:pPr>
        <w:spacing w:after="150"/>
      </w:pPr>
      <w:r>
        <w:rPr>
          <w:color w:val="000000"/>
        </w:rPr>
        <w:t>1) број и датум у</w:t>
      </w:r>
      <w:r>
        <w:rPr>
          <w:color w:val="000000"/>
        </w:rPr>
        <w:t>писа у базу података Министарства.</w:t>
      </w:r>
    </w:p>
    <w:p w:rsidR="008875F4" w:rsidRDefault="00D02735">
      <w:pPr>
        <w:spacing w:after="150"/>
      </w:pPr>
      <w:r>
        <w:rPr>
          <w:color w:val="000000"/>
        </w:rPr>
        <w:t>Субјекат у пословању храном који је извршио продужење уписа додатка исхрани ставља у промет додатак исхрани са садржајем декларације из става 1. овог члана на новој амбалажи.</w:t>
      </w:r>
    </w:p>
    <w:p w:rsidR="008875F4" w:rsidRDefault="00D02735">
      <w:pPr>
        <w:spacing w:after="150"/>
      </w:pPr>
      <w:r>
        <w:rPr>
          <w:color w:val="000000"/>
        </w:rPr>
        <w:t>Субјекат у пословању храном који је извршио пр</w:t>
      </w:r>
      <w:r>
        <w:rPr>
          <w:color w:val="000000"/>
        </w:rPr>
        <w:t>одужење уписа у базу података додатка исхрани може додатак исхрани ставити у промет са затеченом амбалажом најдуже 18 месеци од дана продужења уписа.</w:t>
      </w:r>
    </w:p>
    <w:p w:rsidR="008875F4" w:rsidRDefault="00D02735">
      <w:pPr>
        <w:spacing w:after="150"/>
      </w:pPr>
      <w:r>
        <w:rPr>
          <w:color w:val="000000"/>
        </w:rPr>
        <w:t>Додатак исхрани коме је истекао рок уписа, а стављени су у промет пре датума истека рока уписа у базу пода</w:t>
      </w:r>
      <w:r>
        <w:rPr>
          <w:color w:val="000000"/>
        </w:rPr>
        <w:t>така, могу бити у промету до истека рока трајања, без стављања на декларацију новог броја и датума продужења уписа у базу података, а најдуже 18 месеци од датума продужења уписа.</w:t>
      </w:r>
    </w:p>
    <w:p w:rsidR="008875F4" w:rsidRDefault="00D02735">
      <w:pPr>
        <w:spacing w:after="150"/>
      </w:pPr>
      <w:r>
        <w:rPr>
          <w:color w:val="000000"/>
        </w:rPr>
        <w:t>За додатке исхрани за које није извршено продужење уписа у базу података у пр</w:t>
      </w:r>
      <w:r>
        <w:rPr>
          <w:color w:val="000000"/>
        </w:rPr>
        <w:t xml:space="preserve">описаном року, субјекат у пословању храном је у обавези да изврши </w:t>
      </w:r>
      <w:r>
        <w:rPr>
          <w:color w:val="000000"/>
        </w:rPr>
        <w:lastRenderedPageBreak/>
        <w:t>упис у складу са процедуром уписа наведеном у чл. 18, 19, 20. и 21. овог правилника.</w:t>
      </w:r>
    </w:p>
    <w:p w:rsidR="008875F4" w:rsidRDefault="00D02735">
      <w:pPr>
        <w:spacing w:after="120"/>
        <w:jc w:val="center"/>
      </w:pPr>
      <w:r>
        <w:rPr>
          <w:color w:val="000000"/>
        </w:rPr>
        <w:t>Члан 22.</w:t>
      </w:r>
    </w:p>
    <w:p w:rsidR="008875F4" w:rsidRDefault="00D02735">
      <w:pPr>
        <w:spacing w:after="150"/>
      </w:pPr>
      <w:r>
        <w:rPr>
          <w:color w:val="000000"/>
        </w:rPr>
        <w:t>Упис додатка исхрани у базу података врши се на период од пет година.</w:t>
      </w:r>
    </w:p>
    <w:p w:rsidR="008875F4" w:rsidRDefault="00D02735">
      <w:pPr>
        <w:spacing w:after="150"/>
      </w:pPr>
      <w:r>
        <w:rPr>
          <w:color w:val="000000"/>
        </w:rPr>
        <w:t>Упис додатка исхрани прест</w:t>
      </w:r>
      <w:r>
        <w:rPr>
          <w:color w:val="000000"/>
        </w:rPr>
        <w:t>аје да важи, односно додатак исхрани се брише из базе података Министарства:</w:t>
      </w:r>
    </w:p>
    <w:p w:rsidR="008875F4" w:rsidRDefault="00D02735">
      <w:pPr>
        <w:spacing w:after="150"/>
      </w:pPr>
      <w:r>
        <w:rPr>
          <w:color w:val="000000"/>
        </w:rPr>
        <w:t>1) истеком рока од пет година;</w:t>
      </w:r>
    </w:p>
    <w:p w:rsidR="008875F4" w:rsidRDefault="00D02735">
      <w:pPr>
        <w:spacing w:after="150"/>
      </w:pPr>
      <w:r>
        <w:rPr>
          <w:color w:val="000000"/>
        </w:rPr>
        <w:t>2) на захтев носиоца уписа (увозник, произвођач у Републици Србији, заступник или представник страног произвођача који има седиште у Републици Србиј</w:t>
      </w:r>
      <w:r>
        <w:rPr>
          <w:color w:val="000000"/>
        </w:rPr>
        <w:t>и);</w:t>
      </w:r>
    </w:p>
    <w:p w:rsidR="008875F4" w:rsidRDefault="00D02735">
      <w:pPr>
        <w:spacing w:after="150"/>
      </w:pPr>
      <w:r>
        <w:rPr>
          <w:color w:val="000000"/>
        </w:rPr>
        <w:t>3) ако додатак исхрани престане да испуњава услове за упис (промена назива, састава, произвођача и сл.);</w:t>
      </w:r>
    </w:p>
    <w:p w:rsidR="008875F4" w:rsidRDefault="00D02735">
      <w:pPr>
        <w:spacing w:after="150"/>
      </w:pPr>
      <w:r>
        <w:rPr>
          <w:color w:val="000000"/>
        </w:rPr>
        <w:t>4) уколико постоје докази неповољног ефекта или нежељеног дејства додатка исхрани;</w:t>
      </w:r>
    </w:p>
    <w:p w:rsidR="008875F4" w:rsidRDefault="00D02735">
      <w:pPr>
        <w:spacing w:after="150"/>
      </w:pPr>
      <w:r>
        <w:rPr>
          <w:color w:val="000000"/>
        </w:rPr>
        <w:t xml:space="preserve">5) на основу званичног мишљења Европског тела за безбедност </w:t>
      </w:r>
      <w:r>
        <w:rPr>
          <w:color w:val="000000"/>
        </w:rPr>
        <w:t>хране (EFSA), или других релевантних међународних тела која се баве проценом безбедности хране, тј. ако производ није безбедан или не спада у категорију додатка исхрани;</w:t>
      </w:r>
    </w:p>
    <w:p w:rsidR="008875F4" w:rsidRDefault="00D02735">
      <w:pPr>
        <w:spacing w:after="150"/>
      </w:pPr>
      <w:r>
        <w:rPr>
          <w:color w:val="000000"/>
        </w:rPr>
        <w:t>6) ако због измене прописа које се односе на неки од састојака додатка исхрани, произв</w:t>
      </w:r>
      <w:r>
        <w:rPr>
          <w:color w:val="000000"/>
        </w:rPr>
        <w:t>од не одговара новим захтевима прописаним за оцену безбедности, односно здравствене исправности.</w:t>
      </w:r>
    </w:p>
    <w:p w:rsidR="008875F4" w:rsidRDefault="00D02735">
      <w:pPr>
        <w:spacing w:after="150"/>
      </w:pPr>
      <w:r>
        <w:rPr>
          <w:color w:val="000000"/>
        </w:rPr>
        <w:t>За додатке исхрани произведене у Републици Србији који су уписани у базу података, Министарство у складу са прописом којим се уређује општи управни поступак, и</w:t>
      </w:r>
      <w:r>
        <w:rPr>
          <w:color w:val="000000"/>
        </w:rPr>
        <w:t>здаје потврду (сертификат) којом се доказује да је додатак исхрани здравствено исправан и да се налази у слободном промету у Републици Србији, а за производе који су уписани у базу података, а произведени су у другој земљи, да се налазе у слободном промету</w:t>
      </w:r>
      <w:r>
        <w:rPr>
          <w:color w:val="000000"/>
        </w:rPr>
        <w:t xml:space="preserve"> у Републици Србији.</w:t>
      </w:r>
    </w:p>
    <w:p w:rsidR="008875F4" w:rsidRDefault="00D02735">
      <w:pPr>
        <w:spacing w:after="120"/>
        <w:jc w:val="center"/>
      </w:pPr>
      <w:r>
        <w:rPr>
          <w:color w:val="000000"/>
        </w:rPr>
        <w:t>Члан 23.</w:t>
      </w:r>
    </w:p>
    <w:p w:rsidR="008875F4" w:rsidRDefault="00D02735">
      <w:pPr>
        <w:spacing w:after="150"/>
      </w:pPr>
      <w:r>
        <w:rPr>
          <w:color w:val="000000"/>
        </w:rPr>
        <w:t xml:space="preserve">Уколико се на основу нових релевантних научних информација или извршене поновне процене постојећих података, формирају поуздане основе за тврдњу да производ угрожава људско здравље иако испуњава захтеве овог правилника, </w:t>
      </w:r>
      <w:r>
        <w:rPr>
          <w:color w:val="000000"/>
        </w:rPr>
        <w:t>Министарство, у складу са законом, може привремено забранити или ограничити промет производа.</w:t>
      </w:r>
    </w:p>
    <w:p w:rsidR="008875F4" w:rsidRDefault="00D02735">
      <w:pPr>
        <w:spacing w:after="120"/>
        <w:jc w:val="center"/>
      </w:pPr>
      <w:r>
        <w:rPr>
          <w:b/>
          <w:color w:val="000000"/>
        </w:rPr>
        <w:t>Престанак важења ранијег прописа</w:t>
      </w:r>
    </w:p>
    <w:p w:rsidR="008875F4" w:rsidRDefault="00D02735">
      <w:pPr>
        <w:spacing w:after="120"/>
        <w:jc w:val="center"/>
      </w:pPr>
      <w:r>
        <w:rPr>
          <w:color w:val="000000"/>
        </w:rPr>
        <w:t>Члан 24.</w:t>
      </w:r>
    </w:p>
    <w:p w:rsidR="008875F4" w:rsidRDefault="00D02735">
      <w:pPr>
        <w:spacing w:after="150"/>
      </w:pPr>
      <w:r>
        <w:rPr>
          <w:color w:val="000000"/>
        </w:rPr>
        <w:t>Даном ступања на снагу овог правилника престају да важе одредбе члана 2. став 1. тачка 2), члана 3. став 2. тачка 7) и ч</w:t>
      </w:r>
      <w:r>
        <w:rPr>
          <w:color w:val="000000"/>
        </w:rPr>
        <w:t xml:space="preserve">л. од 76. до 89. Правилника о </w:t>
      </w:r>
      <w:r>
        <w:rPr>
          <w:color w:val="000000"/>
        </w:rPr>
        <w:lastRenderedPageBreak/>
        <w:t>здравственој исправности дијететских производа („Службени глaсник РС”, бр. 45/10, 27/11, 50/12, 21/15, 75/15, 7/17 и 103/18 – др. пропис).</w:t>
      </w:r>
    </w:p>
    <w:p w:rsidR="008875F4" w:rsidRDefault="00D02735">
      <w:pPr>
        <w:spacing w:after="120"/>
        <w:jc w:val="center"/>
      </w:pPr>
      <w:r>
        <w:rPr>
          <w:b/>
          <w:color w:val="000000"/>
        </w:rPr>
        <w:t>Ступање на снагу</w:t>
      </w:r>
    </w:p>
    <w:p w:rsidR="008875F4" w:rsidRDefault="00D02735">
      <w:pPr>
        <w:spacing w:after="120"/>
        <w:jc w:val="center"/>
      </w:pPr>
      <w:r>
        <w:rPr>
          <w:color w:val="000000"/>
        </w:rPr>
        <w:t>Члан 25.</w:t>
      </w:r>
    </w:p>
    <w:p w:rsidR="008875F4" w:rsidRDefault="00D02735">
      <w:pPr>
        <w:spacing w:after="150"/>
      </w:pPr>
      <w:r>
        <w:rPr>
          <w:color w:val="000000"/>
        </w:rPr>
        <w:t xml:space="preserve">Овај правилник ступа на снагу осмог дана од дана објављивања </w:t>
      </w:r>
      <w:r>
        <w:rPr>
          <w:color w:val="000000"/>
        </w:rPr>
        <w:t>у „Службеном гласнику Републике Србије”.</w:t>
      </w:r>
    </w:p>
    <w:p w:rsidR="008875F4" w:rsidRDefault="00D02735">
      <w:pPr>
        <w:spacing w:after="150"/>
        <w:jc w:val="right"/>
      </w:pPr>
      <w:r>
        <w:rPr>
          <w:color w:val="000000"/>
        </w:rPr>
        <w:t>Број 110-00-368/2021-22</w:t>
      </w:r>
    </w:p>
    <w:p w:rsidR="008875F4" w:rsidRDefault="00D02735">
      <w:pPr>
        <w:spacing w:after="150"/>
        <w:jc w:val="right"/>
      </w:pPr>
      <w:r>
        <w:rPr>
          <w:color w:val="000000"/>
        </w:rPr>
        <w:t>У Београду, 1. априла 2022. године</w:t>
      </w:r>
    </w:p>
    <w:p w:rsidR="008875F4" w:rsidRDefault="00D02735">
      <w:pPr>
        <w:spacing w:after="150"/>
        <w:jc w:val="right"/>
      </w:pPr>
      <w:r>
        <w:rPr>
          <w:color w:val="000000"/>
        </w:rPr>
        <w:t>Министар,</w:t>
      </w:r>
    </w:p>
    <w:p w:rsidR="008875F4" w:rsidRDefault="00D02735">
      <w:pPr>
        <w:spacing w:after="150"/>
        <w:jc w:val="right"/>
      </w:pPr>
      <w:r>
        <w:rPr>
          <w:color w:val="000000"/>
        </w:rPr>
        <w:t xml:space="preserve">др </w:t>
      </w:r>
      <w:r>
        <w:rPr>
          <w:b/>
          <w:color w:val="000000"/>
        </w:rPr>
        <w:t>Златибор Лончар,</w:t>
      </w:r>
      <w:r>
        <w:rPr>
          <w:color w:val="000000"/>
        </w:rPr>
        <w:t xml:space="preserve"> с.р.</w:t>
      </w:r>
    </w:p>
    <w:p w:rsidR="008875F4" w:rsidRDefault="00D02735">
      <w:pPr>
        <w:spacing w:after="150"/>
        <w:jc w:val="right"/>
      </w:pPr>
      <w:r>
        <w:rPr>
          <w:color w:val="000000"/>
        </w:rPr>
        <w:t>ПРИЛОГ I.</w:t>
      </w:r>
    </w:p>
    <w:p w:rsidR="008875F4" w:rsidRDefault="00D02735">
      <w:pPr>
        <w:spacing w:after="120"/>
        <w:jc w:val="center"/>
      </w:pPr>
      <w:r>
        <w:rPr>
          <w:b/>
          <w:color w:val="000000"/>
        </w:rPr>
        <w:t>Витамини и минерали који се могу користити у производњи додатака исхрани</w:t>
      </w:r>
    </w:p>
    <w:p w:rsidR="008875F4" w:rsidRDefault="00D02735">
      <w:pPr>
        <w:spacing w:after="150"/>
      </w:pPr>
      <w:r>
        <w:rPr>
          <w:color w:val="000000"/>
        </w:rPr>
        <w:t xml:space="preserve">1. </w:t>
      </w:r>
      <w:r>
        <w:rPr>
          <w:b/>
          <w:color w:val="000000"/>
        </w:rPr>
        <w:t>Витамини</w:t>
      </w:r>
    </w:p>
    <w:p w:rsidR="008875F4" w:rsidRDefault="00D02735">
      <w:pPr>
        <w:spacing w:after="150"/>
      </w:pPr>
      <w:r>
        <w:rPr>
          <w:color w:val="000000"/>
        </w:rPr>
        <w:t>Витамин А (μg RE)</w:t>
      </w:r>
    </w:p>
    <w:p w:rsidR="008875F4" w:rsidRDefault="00D02735">
      <w:pPr>
        <w:spacing w:after="150"/>
      </w:pPr>
      <w:r>
        <w:rPr>
          <w:color w:val="000000"/>
        </w:rPr>
        <w:t xml:space="preserve">Витамин </w:t>
      </w:r>
      <w:r>
        <w:rPr>
          <w:color w:val="000000"/>
        </w:rPr>
        <w:t>Д (μg)</w:t>
      </w:r>
    </w:p>
    <w:p w:rsidR="008875F4" w:rsidRDefault="00D02735">
      <w:pPr>
        <w:spacing w:after="150"/>
      </w:pPr>
      <w:r>
        <w:rPr>
          <w:color w:val="000000"/>
        </w:rPr>
        <w:t>Витамин Е (mg a-TE)</w:t>
      </w:r>
    </w:p>
    <w:p w:rsidR="008875F4" w:rsidRDefault="00D02735">
      <w:pPr>
        <w:spacing w:after="150"/>
      </w:pPr>
      <w:r>
        <w:rPr>
          <w:color w:val="000000"/>
        </w:rPr>
        <w:t>Витамин К (μg)</w:t>
      </w:r>
    </w:p>
    <w:p w:rsidR="008875F4" w:rsidRDefault="00D02735">
      <w:pPr>
        <w:spacing w:after="150"/>
      </w:pPr>
      <w:r>
        <w:rPr>
          <w:color w:val="000000"/>
        </w:rPr>
        <w:t>Витамин Б1 (mg)</w:t>
      </w:r>
    </w:p>
    <w:p w:rsidR="008875F4" w:rsidRDefault="00D02735">
      <w:pPr>
        <w:spacing w:after="150"/>
      </w:pPr>
      <w:r>
        <w:rPr>
          <w:color w:val="000000"/>
        </w:rPr>
        <w:t>Витамин Б2 (mg)</w:t>
      </w:r>
    </w:p>
    <w:p w:rsidR="008875F4" w:rsidRDefault="00D02735">
      <w:pPr>
        <w:spacing w:after="150"/>
      </w:pPr>
      <w:r>
        <w:rPr>
          <w:color w:val="000000"/>
        </w:rPr>
        <w:t>Ниацин (mg NE)</w:t>
      </w:r>
    </w:p>
    <w:p w:rsidR="008875F4" w:rsidRDefault="00D02735">
      <w:pPr>
        <w:spacing w:after="150"/>
      </w:pPr>
      <w:r>
        <w:rPr>
          <w:color w:val="000000"/>
        </w:rPr>
        <w:t>Пантотенска киселина (mg)</w:t>
      </w:r>
    </w:p>
    <w:p w:rsidR="008875F4" w:rsidRDefault="00D02735">
      <w:pPr>
        <w:spacing w:after="150"/>
      </w:pPr>
      <w:r>
        <w:rPr>
          <w:color w:val="000000"/>
        </w:rPr>
        <w:t>Витамин Б6 (mg)</w:t>
      </w:r>
    </w:p>
    <w:p w:rsidR="008875F4" w:rsidRDefault="00D02735">
      <w:pPr>
        <w:spacing w:after="150"/>
      </w:pPr>
      <w:r>
        <w:rPr>
          <w:color w:val="000000"/>
        </w:rPr>
        <w:t xml:space="preserve">Фолна киселина (μg) ( </w:t>
      </w:r>
      <w:r>
        <w:rPr>
          <w:color w:val="000000"/>
          <w:vertAlign w:val="superscript"/>
        </w:rPr>
        <w:t>1</w:t>
      </w:r>
      <w:r>
        <w:rPr>
          <w:color w:val="000000"/>
        </w:rPr>
        <w:t xml:space="preserve"> )</w:t>
      </w:r>
    </w:p>
    <w:p w:rsidR="008875F4" w:rsidRDefault="00D02735">
      <w:pPr>
        <w:spacing w:after="150"/>
      </w:pPr>
      <w:r>
        <w:rPr>
          <w:color w:val="000000"/>
        </w:rPr>
        <w:t>Витамин Б12 (μg)</w:t>
      </w:r>
    </w:p>
    <w:p w:rsidR="008875F4" w:rsidRDefault="00D02735">
      <w:pPr>
        <w:spacing w:after="150"/>
      </w:pPr>
      <w:r>
        <w:rPr>
          <w:color w:val="000000"/>
        </w:rPr>
        <w:t>Биотин (μg)</w:t>
      </w:r>
    </w:p>
    <w:p w:rsidR="008875F4" w:rsidRDefault="00D02735">
      <w:pPr>
        <w:spacing w:after="150"/>
      </w:pPr>
      <w:r>
        <w:rPr>
          <w:color w:val="000000"/>
        </w:rPr>
        <w:t>Витамин Ц (mg)</w:t>
      </w:r>
    </w:p>
    <w:p w:rsidR="008875F4" w:rsidRDefault="00D02735">
      <w:pPr>
        <w:spacing w:after="150"/>
      </w:pPr>
      <w:r>
        <w:rPr>
          <w:color w:val="000000"/>
        </w:rPr>
        <w:t xml:space="preserve">2. </w:t>
      </w:r>
      <w:r>
        <w:rPr>
          <w:b/>
          <w:color w:val="000000"/>
        </w:rPr>
        <w:t>Минерали</w:t>
      </w:r>
    </w:p>
    <w:p w:rsidR="008875F4" w:rsidRDefault="00D02735">
      <w:pPr>
        <w:spacing w:after="150"/>
      </w:pPr>
      <w:r>
        <w:rPr>
          <w:color w:val="000000"/>
        </w:rPr>
        <w:t>Калцијум (mg)</w:t>
      </w:r>
    </w:p>
    <w:p w:rsidR="008875F4" w:rsidRDefault="00D02735">
      <w:pPr>
        <w:spacing w:after="150"/>
      </w:pPr>
      <w:r>
        <w:rPr>
          <w:color w:val="000000"/>
        </w:rPr>
        <w:t>Магнезијум (mg)</w:t>
      </w:r>
    </w:p>
    <w:p w:rsidR="008875F4" w:rsidRDefault="00D02735">
      <w:pPr>
        <w:spacing w:after="150"/>
      </w:pPr>
      <w:r>
        <w:rPr>
          <w:color w:val="000000"/>
        </w:rPr>
        <w:t>Гвожђе (mg)</w:t>
      </w:r>
    </w:p>
    <w:p w:rsidR="008875F4" w:rsidRDefault="00D02735">
      <w:pPr>
        <w:spacing w:after="150"/>
      </w:pPr>
      <w:r>
        <w:rPr>
          <w:color w:val="000000"/>
        </w:rPr>
        <w:t>Бакар (μg)</w:t>
      </w:r>
    </w:p>
    <w:p w:rsidR="008875F4" w:rsidRDefault="00D02735">
      <w:pPr>
        <w:spacing w:after="150"/>
      </w:pPr>
      <w:r>
        <w:rPr>
          <w:color w:val="000000"/>
        </w:rPr>
        <w:lastRenderedPageBreak/>
        <w:t>Јод (μg)</w:t>
      </w:r>
    </w:p>
    <w:p w:rsidR="008875F4" w:rsidRDefault="00D02735">
      <w:pPr>
        <w:spacing w:after="150"/>
      </w:pPr>
      <w:r>
        <w:rPr>
          <w:color w:val="000000"/>
        </w:rPr>
        <w:t>Cink (mg)</w:t>
      </w:r>
    </w:p>
    <w:p w:rsidR="008875F4" w:rsidRDefault="00D02735">
      <w:pPr>
        <w:spacing w:after="150"/>
      </w:pPr>
      <w:r>
        <w:rPr>
          <w:color w:val="000000"/>
        </w:rPr>
        <w:t>Манган (mg)</w:t>
      </w:r>
    </w:p>
    <w:p w:rsidR="008875F4" w:rsidRDefault="00D02735">
      <w:pPr>
        <w:spacing w:after="150"/>
      </w:pPr>
      <w:r>
        <w:rPr>
          <w:color w:val="000000"/>
        </w:rPr>
        <w:t>Натријум (mg)</w:t>
      </w:r>
    </w:p>
    <w:p w:rsidR="008875F4" w:rsidRDefault="00D02735">
      <w:pPr>
        <w:spacing w:after="150"/>
      </w:pPr>
      <w:r>
        <w:rPr>
          <w:color w:val="000000"/>
        </w:rPr>
        <w:t>Калијум (mg)</w:t>
      </w:r>
    </w:p>
    <w:p w:rsidR="008875F4" w:rsidRDefault="00D02735">
      <w:pPr>
        <w:spacing w:after="150"/>
      </w:pPr>
      <w:r>
        <w:rPr>
          <w:color w:val="000000"/>
        </w:rPr>
        <w:t>Селен (μg)</w:t>
      </w:r>
    </w:p>
    <w:p w:rsidR="008875F4" w:rsidRDefault="00D02735">
      <w:pPr>
        <w:spacing w:after="150"/>
      </w:pPr>
      <w:r>
        <w:rPr>
          <w:color w:val="000000"/>
        </w:rPr>
        <w:t>Хром (μg)</w:t>
      </w:r>
    </w:p>
    <w:p w:rsidR="008875F4" w:rsidRDefault="00D02735">
      <w:pPr>
        <w:spacing w:after="150"/>
      </w:pPr>
      <w:r>
        <w:rPr>
          <w:color w:val="000000"/>
        </w:rPr>
        <w:t>Молибден (μg)</w:t>
      </w:r>
    </w:p>
    <w:p w:rsidR="008875F4" w:rsidRDefault="00D02735">
      <w:pPr>
        <w:spacing w:after="150"/>
      </w:pPr>
      <w:r>
        <w:rPr>
          <w:color w:val="000000"/>
        </w:rPr>
        <w:t>Флуорид (mg)</w:t>
      </w:r>
    </w:p>
    <w:p w:rsidR="008875F4" w:rsidRDefault="00D02735">
      <w:pPr>
        <w:spacing w:after="150"/>
      </w:pPr>
      <w:r>
        <w:rPr>
          <w:color w:val="000000"/>
        </w:rPr>
        <w:t>Хлорид (mg)</w:t>
      </w:r>
    </w:p>
    <w:p w:rsidR="008875F4" w:rsidRDefault="00D02735">
      <w:pPr>
        <w:spacing w:after="150"/>
      </w:pPr>
      <w:r>
        <w:rPr>
          <w:color w:val="000000"/>
        </w:rPr>
        <w:t>Фосфор (mg)</w:t>
      </w:r>
    </w:p>
    <w:p w:rsidR="008875F4" w:rsidRDefault="00D02735">
      <w:pPr>
        <w:spacing w:after="150"/>
      </w:pPr>
      <w:r>
        <w:rPr>
          <w:color w:val="000000"/>
        </w:rPr>
        <w:t>Бор (mg)</w:t>
      </w:r>
    </w:p>
    <w:p w:rsidR="008875F4" w:rsidRDefault="00D02735">
      <w:pPr>
        <w:spacing w:after="150"/>
      </w:pPr>
      <w:r>
        <w:rPr>
          <w:color w:val="000000"/>
        </w:rPr>
        <w:t>Силицијум (mg)</w:t>
      </w:r>
    </w:p>
    <w:p w:rsidR="008875F4" w:rsidRDefault="00D02735">
      <w:pPr>
        <w:spacing w:after="150"/>
        <w:jc w:val="right"/>
      </w:pPr>
      <w:r>
        <w:rPr>
          <w:color w:val="000000"/>
        </w:rPr>
        <w:t>ПРИЛОГ II.</w:t>
      </w:r>
    </w:p>
    <w:p w:rsidR="008875F4" w:rsidRDefault="00D02735">
      <w:pPr>
        <w:spacing w:after="120"/>
        <w:jc w:val="center"/>
      </w:pPr>
      <w:r>
        <w:rPr>
          <w:color w:val="000000"/>
        </w:rPr>
        <w:t xml:space="preserve">СУПСТАНЦЕ КОЈЕ СЕ МОГУ КОРИСТИТИ КАО ИЗВОРИ ВИТАМИНА И МИНЕРАЛА У ПРОИЗВОДЊИ </w:t>
      </w:r>
      <w:r>
        <w:rPr>
          <w:color w:val="000000"/>
        </w:rPr>
        <w:t>ДОДАТАКА ИСХРАНИ (ДИЈЕТЕТСКИХ СУПЛЕМЕНАТА)</w:t>
      </w:r>
    </w:p>
    <w:p w:rsidR="008875F4" w:rsidRDefault="00D02735">
      <w:pPr>
        <w:spacing w:after="150"/>
      </w:pPr>
      <w:r>
        <w:rPr>
          <w:color w:val="000000"/>
        </w:rPr>
        <w:t xml:space="preserve">А. </w:t>
      </w:r>
      <w:r>
        <w:rPr>
          <w:b/>
          <w:color w:val="000000"/>
        </w:rPr>
        <w:t>Витамини</w:t>
      </w:r>
    </w:p>
    <w:p w:rsidR="008875F4" w:rsidRDefault="00D02735">
      <w:pPr>
        <w:spacing w:after="150"/>
      </w:pPr>
      <w:r>
        <w:rPr>
          <w:b/>
          <w:color w:val="000000"/>
        </w:rPr>
        <w:t>1. ВИТАМИН А</w:t>
      </w:r>
    </w:p>
    <w:p w:rsidR="008875F4" w:rsidRDefault="00D02735">
      <w:pPr>
        <w:spacing w:after="150"/>
      </w:pPr>
      <w:r>
        <w:rPr>
          <w:color w:val="000000"/>
        </w:rPr>
        <w:t>(а) ретинол</w:t>
      </w:r>
    </w:p>
    <w:p w:rsidR="008875F4" w:rsidRDefault="00D02735">
      <w:pPr>
        <w:spacing w:after="150"/>
      </w:pPr>
      <w:r>
        <w:rPr>
          <w:color w:val="000000"/>
        </w:rPr>
        <w:t>(б) ретинил-ацетат</w:t>
      </w:r>
    </w:p>
    <w:p w:rsidR="008875F4" w:rsidRDefault="00D02735">
      <w:pPr>
        <w:spacing w:after="150"/>
      </w:pPr>
      <w:r>
        <w:rPr>
          <w:color w:val="000000"/>
        </w:rPr>
        <w:t>(ц) ретинил-палмитат</w:t>
      </w:r>
    </w:p>
    <w:p w:rsidR="008875F4" w:rsidRDefault="00D02735">
      <w:pPr>
        <w:spacing w:after="150"/>
      </w:pPr>
      <w:r>
        <w:rPr>
          <w:color w:val="000000"/>
        </w:rPr>
        <w:t>(д) бета-каротен</w:t>
      </w:r>
    </w:p>
    <w:p w:rsidR="008875F4" w:rsidRDefault="00D02735">
      <w:pPr>
        <w:spacing w:after="150"/>
      </w:pPr>
      <w:r>
        <w:rPr>
          <w:b/>
          <w:color w:val="000000"/>
        </w:rPr>
        <w:t>2. ВИТАМИН Д</w:t>
      </w:r>
    </w:p>
    <w:p w:rsidR="008875F4" w:rsidRDefault="00D02735">
      <w:pPr>
        <w:spacing w:after="150"/>
      </w:pPr>
      <w:r>
        <w:rPr>
          <w:color w:val="000000"/>
        </w:rPr>
        <w:t>(а) холекалциферол</w:t>
      </w:r>
    </w:p>
    <w:p w:rsidR="008875F4" w:rsidRDefault="00D02735">
      <w:pPr>
        <w:spacing w:after="150"/>
      </w:pPr>
      <w:r>
        <w:rPr>
          <w:color w:val="000000"/>
        </w:rPr>
        <w:t>(б) ергокалциферол</w:t>
      </w:r>
    </w:p>
    <w:p w:rsidR="008875F4" w:rsidRDefault="00D02735">
      <w:pPr>
        <w:spacing w:after="150"/>
      </w:pPr>
      <w:r>
        <w:rPr>
          <w:b/>
          <w:color w:val="000000"/>
        </w:rPr>
        <w:t>3. ВИТАМИН Е</w:t>
      </w:r>
    </w:p>
    <w:p w:rsidR="008875F4" w:rsidRDefault="00D02735">
      <w:pPr>
        <w:spacing w:after="150"/>
      </w:pPr>
      <w:r>
        <w:rPr>
          <w:color w:val="000000"/>
        </w:rPr>
        <w:t>(a) D-алфа-токоферол</w:t>
      </w:r>
    </w:p>
    <w:p w:rsidR="008875F4" w:rsidRDefault="00D02735">
      <w:pPr>
        <w:spacing w:after="150"/>
      </w:pPr>
      <w:r>
        <w:rPr>
          <w:color w:val="000000"/>
        </w:rPr>
        <w:t>(б) DL-алфа-токоферол</w:t>
      </w:r>
    </w:p>
    <w:p w:rsidR="008875F4" w:rsidRDefault="00D02735">
      <w:pPr>
        <w:spacing w:after="150"/>
      </w:pPr>
      <w:r>
        <w:rPr>
          <w:color w:val="000000"/>
        </w:rPr>
        <w:t xml:space="preserve">(ц) </w:t>
      </w:r>
      <w:r>
        <w:rPr>
          <w:color w:val="000000"/>
        </w:rPr>
        <w:t>D-алфа-токоферилацетат</w:t>
      </w:r>
    </w:p>
    <w:p w:rsidR="008875F4" w:rsidRDefault="00D02735">
      <w:pPr>
        <w:spacing w:after="150"/>
      </w:pPr>
      <w:r>
        <w:rPr>
          <w:color w:val="000000"/>
        </w:rPr>
        <w:t>(д) DL-алфа-токоферилацетат</w:t>
      </w:r>
    </w:p>
    <w:p w:rsidR="008875F4" w:rsidRDefault="00D02735">
      <w:pPr>
        <w:spacing w:after="150"/>
      </w:pPr>
      <w:r>
        <w:rPr>
          <w:color w:val="000000"/>
        </w:rPr>
        <w:t>(e) D-алфа-токоферилхидрогенсукцинат</w:t>
      </w:r>
    </w:p>
    <w:p w:rsidR="008875F4" w:rsidRDefault="00D02735">
      <w:pPr>
        <w:spacing w:after="150"/>
      </w:pPr>
      <w:r>
        <w:rPr>
          <w:color w:val="000000"/>
        </w:rPr>
        <w:lastRenderedPageBreak/>
        <w:t xml:space="preserve">(ф) мешавина токоферола ( </w:t>
      </w:r>
      <w:r>
        <w:rPr>
          <w:color w:val="000000"/>
          <w:vertAlign w:val="superscript"/>
        </w:rPr>
        <w:t>2</w:t>
      </w:r>
      <w:r>
        <w:rPr>
          <w:color w:val="000000"/>
        </w:rPr>
        <w:t xml:space="preserve"> )</w:t>
      </w:r>
    </w:p>
    <w:p w:rsidR="008875F4" w:rsidRDefault="00D02735">
      <w:pPr>
        <w:spacing w:after="150"/>
      </w:pPr>
      <w:r>
        <w:rPr>
          <w:color w:val="000000"/>
        </w:rPr>
        <w:t xml:space="preserve">(г) токотриенол токоферол ( </w:t>
      </w:r>
      <w:r>
        <w:rPr>
          <w:color w:val="000000"/>
          <w:vertAlign w:val="superscript"/>
        </w:rPr>
        <w:t>3</w:t>
      </w:r>
      <w:r>
        <w:rPr>
          <w:color w:val="000000"/>
        </w:rPr>
        <w:t xml:space="preserve"> )</w:t>
      </w:r>
    </w:p>
    <w:p w:rsidR="008875F4" w:rsidRDefault="00D02735">
      <w:pPr>
        <w:spacing w:after="150"/>
      </w:pPr>
      <w:r>
        <w:rPr>
          <w:b/>
          <w:color w:val="000000"/>
        </w:rPr>
        <w:t>4. ВИТАМИН К</w:t>
      </w:r>
    </w:p>
    <w:p w:rsidR="008875F4" w:rsidRDefault="00D02735">
      <w:pPr>
        <w:spacing w:after="150"/>
      </w:pPr>
      <w:r>
        <w:rPr>
          <w:color w:val="000000"/>
        </w:rPr>
        <w:t>(а) филохинон (фитоменадион)</w:t>
      </w:r>
    </w:p>
    <w:p w:rsidR="008875F4" w:rsidRDefault="00D02735">
      <w:pPr>
        <w:spacing w:after="150"/>
      </w:pPr>
      <w:r>
        <w:rPr>
          <w:color w:val="000000"/>
        </w:rPr>
        <w:t xml:space="preserve">(б) менахинон ( </w:t>
      </w:r>
      <w:r>
        <w:rPr>
          <w:color w:val="000000"/>
          <w:vertAlign w:val="superscript"/>
        </w:rPr>
        <w:t>4</w:t>
      </w:r>
      <w:r>
        <w:rPr>
          <w:color w:val="000000"/>
        </w:rPr>
        <w:t xml:space="preserve"> )</w:t>
      </w:r>
    </w:p>
    <w:p w:rsidR="008875F4" w:rsidRDefault="00D02735">
      <w:pPr>
        <w:spacing w:after="150"/>
      </w:pPr>
      <w:r>
        <w:rPr>
          <w:b/>
          <w:color w:val="000000"/>
        </w:rPr>
        <w:t>5. ВИТАМИН Б1</w:t>
      </w:r>
    </w:p>
    <w:p w:rsidR="008875F4" w:rsidRDefault="00D02735">
      <w:pPr>
        <w:spacing w:after="150"/>
      </w:pPr>
      <w:r>
        <w:rPr>
          <w:color w:val="000000"/>
        </w:rPr>
        <w:t>(а) тиамин-хидрохлорид</w:t>
      </w:r>
    </w:p>
    <w:p w:rsidR="008875F4" w:rsidRDefault="00D02735">
      <w:pPr>
        <w:spacing w:after="150"/>
      </w:pPr>
      <w:r>
        <w:rPr>
          <w:color w:val="000000"/>
        </w:rPr>
        <w:t>(б) тиа</w:t>
      </w:r>
      <w:r>
        <w:rPr>
          <w:color w:val="000000"/>
        </w:rPr>
        <w:t>мин-мононитрат</w:t>
      </w:r>
    </w:p>
    <w:p w:rsidR="008875F4" w:rsidRDefault="00D02735">
      <w:pPr>
        <w:spacing w:after="150"/>
      </w:pPr>
      <w:r>
        <w:rPr>
          <w:color w:val="000000"/>
        </w:rPr>
        <w:t>(ц) тиамин-монофосфат-хлорид</w:t>
      </w:r>
    </w:p>
    <w:p w:rsidR="008875F4" w:rsidRDefault="00D02735">
      <w:pPr>
        <w:spacing w:after="150"/>
      </w:pPr>
      <w:r>
        <w:rPr>
          <w:color w:val="000000"/>
        </w:rPr>
        <w:t>(д) тиамин-пирофосфат-хлорид</w:t>
      </w:r>
    </w:p>
    <w:p w:rsidR="008875F4" w:rsidRDefault="00D02735">
      <w:pPr>
        <w:spacing w:after="150"/>
      </w:pPr>
      <w:r>
        <w:rPr>
          <w:b/>
          <w:color w:val="000000"/>
        </w:rPr>
        <w:t>6. ВИТАМИН Б2</w:t>
      </w:r>
    </w:p>
    <w:p w:rsidR="008875F4" w:rsidRDefault="00D02735">
      <w:pPr>
        <w:spacing w:after="150"/>
      </w:pPr>
      <w:r>
        <w:rPr>
          <w:color w:val="000000"/>
        </w:rPr>
        <w:t>(а) рибофлавин</w:t>
      </w:r>
    </w:p>
    <w:p w:rsidR="008875F4" w:rsidRDefault="00D02735">
      <w:pPr>
        <w:spacing w:after="150"/>
      </w:pPr>
      <w:r>
        <w:rPr>
          <w:color w:val="000000"/>
        </w:rPr>
        <w:t>(б) натријум-рибофлавин-5’-фосфат</w:t>
      </w:r>
    </w:p>
    <w:p w:rsidR="008875F4" w:rsidRDefault="00D02735">
      <w:pPr>
        <w:spacing w:after="150"/>
      </w:pPr>
      <w:r>
        <w:rPr>
          <w:b/>
          <w:color w:val="000000"/>
        </w:rPr>
        <w:t>7. НИАЦИН</w:t>
      </w:r>
    </w:p>
    <w:p w:rsidR="008875F4" w:rsidRDefault="00D02735">
      <w:pPr>
        <w:spacing w:after="150"/>
      </w:pPr>
      <w:r>
        <w:rPr>
          <w:color w:val="000000"/>
        </w:rPr>
        <w:t>(а) никотинска киселина</w:t>
      </w:r>
    </w:p>
    <w:p w:rsidR="008875F4" w:rsidRDefault="00D02735">
      <w:pPr>
        <w:spacing w:after="150"/>
      </w:pPr>
      <w:r>
        <w:rPr>
          <w:color w:val="000000"/>
        </w:rPr>
        <w:t>(б) никотинамид</w:t>
      </w:r>
    </w:p>
    <w:p w:rsidR="008875F4" w:rsidRDefault="00D02735">
      <w:pPr>
        <w:spacing w:after="150"/>
      </w:pPr>
      <w:r>
        <w:rPr>
          <w:color w:val="000000"/>
        </w:rPr>
        <w:t>(ц) инозитол-хексаникотинат (инозитол-хексаниацинат)</w:t>
      </w:r>
    </w:p>
    <w:p w:rsidR="008875F4" w:rsidRDefault="00D02735">
      <w:pPr>
        <w:spacing w:after="150"/>
      </w:pPr>
      <w:r>
        <w:rPr>
          <w:color w:val="000000"/>
        </w:rPr>
        <w:t xml:space="preserve">(д) </w:t>
      </w:r>
      <w:r>
        <w:rPr>
          <w:color w:val="000000"/>
        </w:rPr>
        <w:t>никотинамид-рибозид-хлорид</w:t>
      </w:r>
    </w:p>
    <w:p w:rsidR="008875F4" w:rsidRDefault="00D02735">
      <w:pPr>
        <w:spacing w:after="150"/>
      </w:pPr>
      <w:r>
        <w:rPr>
          <w:b/>
          <w:color w:val="000000"/>
        </w:rPr>
        <w:t>8. ПАНТОТЕНСКА КИСЕЛИНА</w:t>
      </w:r>
    </w:p>
    <w:p w:rsidR="008875F4" w:rsidRDefault="00D02735">
      <w:pPr>
        <w:spacing w:after="150"/>
      </w:pPr>
      <w:r>
        <w:rPr>
          <w:color w:val="000000"/>
        </w:rPr>
        <w:t>(а) калцијум-D-пантотенат</w:t>
      </w:r>
    </w:p>
    <w:p w:rsidR="008875F4" w:rsidRDefault="00D02735">
      <w:pPr>
        <w:spacing w:after="150"/>
      </w:pPr>
      <w:r>
        <w:rPr>
          <w:color w:val="000000"/>
        </w:rPr>
        <w:t>(б) натријум-D-пантотенат</w:t>
      </w:r>
    </w:p>
    <w:p w:rsidR="008875F4" w:rsidRDefault="00D02735">
      <w:pPr>
        <w:spacing w:after="150"/>
      </w:pPr>
      <w:r>
        <w:rPr>
          <w:color w:val="000000"/>
        </w:rPr>
        <w:t>(ц) декспантенол</w:t>
      </w:r>
    </w:p>
    <w:p w:rsidR="008875F4" w:rsidRDefault="00D02735">
      <w:pPr>
        <w:spacing w:after="150"/>
      </w:pPr>
      <w:r>
        <w:rPr>
          <w:color w:val="000000"/>
        </w:rPr>
        <w:t>(д) пантетин</w:t>
      </w:r>
    </w:p>
    <w:p w:rsidR="008875F4" w:rsidRDefault="00D02735">
      <w:pPr>
        <w:spacing w:after="150"/>
      </w:pPr>
      <w:r>
        <w:rPr>
          <w:b/>
          <w:color w:val="000000"/>
        </w:rPr>
        <w:t>9. ВИТАМИН Б6</w:t>
      </w:r>
    </w:p>
    <w:p w:rsidR="008875F4" w:rsidRDefault="00D02735">
      <w:pPr>
        <w:spacing w:after="150"/>
      </w:pPr>
      <w:r>
        <w:rPr>
          <w:color w:val="000000"/>
        </w:rPr>
        <w:t>(а) пиридоксин-хидрохлорид</w:t>
      </w:r>
    </w:p>
    <w:p w:rsidR="008875F4" w:rsidRDefault="00D02735">
      <w:pPr>
        <w:spacing w:after="150"/>
      </w:pPr>
      <w:r>
        <w:rPr>
          <w:color w:val="000000"/>
        </w:rPr>
        <w:t>(б) пиридоксин-5′-фосфат</w:t>
      </w:r>
    </w:p>
    <w:p w:rsidR="008875F4" w:rsidRDefault="00D02735">
      <w:pPr>
        <w:spacing w:after="150"/>
      </w:pPr>
      <w:r>
        <w:rPr>
          <w:color w:val="000000"/>
        </w:rPr>
        <w:t>(ц) пиридоксал-5’-фосфат</w:t>
      </w:r>
    </w:p>
    <w:p w:rsidR="008875F4" w:rsidRDefault="00D02735">
      <w:pPr>
        <w:spacing w:after="150"/>
      </w:pPr>
      <w:r>
        <w:rPr>
          <w:b/>
          <w:color w:val="000000"/>
        </w:rPr>
        <w:t>10. ФОЛАТ</w:t>
      </w:r>
    </w:p>
    <w:p w:rsidR="008875F4" w:rsidRDefault="00D02735">
      <w:pPr>
        <w:spacing w:after="150"/>
      </w:pPr>
      <w:r>
        <w:rPr>
          <w:color w:val="000000"/>
        </w:rPr>
        <w:t xml:space="preserve">(а) </w:t>
      </w:r>
      <w:r>
        <w:rPr>
          <w:color w:val="000000"/>
        </w:rPr>
        <w:t>птероилмоноглутаминска киселина</w:t>
      </w:r>
    </w:p>
    <w:p w:rsidR="008875F4" w:rsidRDefault="00D02735">
      <w:pPr>
        <w:spacing w:after="150"/>
      </w:pPr>
      <w:r>
        <w:rPr>
          <w:color w:val="000000"/>
        </w:rPr>
        <w:t>(б) калцијум-L-метилфолат</w:t>
      </w:r>
    </w:p>
    <w:p w:rsidR="008875F4" w:rsidRDefault="00D02735">
      <w:pPr>
        <w:spacing w:after="150"/>
      </w:pPr>
      <w:r>
        <w:rPr>
          <w:color w:val="000000"/>
        </w:rPr>
        <w:lastRenderedPageBreak/>
        <w:t>(ц) (6S)-5-метилтетрахидрофолна киселина, глукозамин со</w:t>
      </w:r>
    </w:p>
    <w:p w:rsidR="008875F4" w:rsidRDefault="00D02735">
      <w:pPr>
        <w:spacing w:after="150"/>
      </w:pPr>
      <w:r>
        <w:rPr>
          <w:b/>
          <w:color w:val="000000"/>
        </w:rPr>
        <w:t>11. ВИТАМИН Б12</w:t>
      </w:r>
    </w:p>
    <w:p w:rsidR="008875F4" w:rsidRDefault="00D02735">
      <w:pPr>
        <w:spacing w:after="150"/>
      </w:pPr>
      <w:r>
        <w:rPr>
          <w:color w:val="000000"/>
        </w:rPr>
        <w:t>(а) цијанокобаламин</w:t>
      </w:r>
    </w:p>
    <w:p w:rsidR="008875F4" w:rsidRDefault="00D02735">
      <w:pPr>
        <w:spacing w:after="150"/>
      </w:pPr>
      <w:r>
        <w:rPr>
          <w:color w:val="000000"/>
        </w:rPr>
        <w:t>(б) хидроксокобаламин</w:t>
      </w:r>
    </w:p>
    <w:p w:rsidR="008875F4" w:rsidRDefault="00D02735">
      <w:pPr>
        <w:spacing w:after="150"/>
      </w:pPr>
      <w:r>
        <w:rPr>
          <w:color w:val="000000"/>
        </w:rPr>
        <w:t>(ц) 5′-деоксиаденозилкобаламин</w:t>
      </w:r>
    </w:p>
    <w:p w:rsidR="008875F4" w:rsidRDefault="00D02735">
      <w:pPr>
        <w:spacing w:after="150"/>
      </w:pPr>
      <w:r>
        <w:rPr>
          <w:color w:val="000000"/>
        </w:rPr>
        <w:t>(д) метилкобаламин</w:t>
      </w:r>
    </w:p>
    <w:p w:rsidR="008875F4" w:rsidRDefault="00D02735">
      <w:pPr>
        <w:spacing w:after="150"/>
      </w:pPr>
      <w:r>
        <w:rPr>
          <w:b/>
          <w:color w:val="000000"/>
        </w:rPr>
        <w:t>12. БИОТИН</w:t>
      </w:r>
    </w:p>
    <w:p w:rsidR="008875F4" w:rsidRDefault="00D02735">
      <w:pPr>
        <w:spacing w:after="150"/>
      </w:pPr>
      <w:r>
        <w:rPr>
          <w:color w:val="000000"/>
        </w:rPr>
        <w:t>(a) D-биотин</w:t>
      </w:r>
    </w:p>
    <w:p w:rsidR="008875F4" w:rsidRDefault="00D02735">
      <w:pPr>
        <w:spacing w:after="150"/>
      </w:pPr>
      <w:r>
        <w:rPr>
          <w:b/>
          <w:color w:val="000000"/>
        </w:rPr>
        <w:t>13. ВИТАМИ</w:t>
      </w:r>
      <w:r>
        <w:rPr>
          <w:b/>
          <w:color w:val="000000"/>
        </w:rPr>
        <w:t>Н Ц</w:t>
      </w:r>
    </w:p>
    <w:p w:rsidR="008875F4" w:rsidRDefault="00D02735">
      <w:pPr>
        <w:spacing w:after="150"/>
      </w:pPr>
      <w:r>
        <w:rPr>
          <w:color w:val="000000"/>
        </w:rPr>
        <w:t>(а) L-аскорбинска киселина</w:t>
      </w:r>
    </w:p>
    <w:p w:rsidR="008875F4" w:rsidRDefault="00D02735">
      <w:pPr>
        <w:spacing w:after="150"/>
      </w:pPr>
      <w:r>
        <w:rPr>
          <w:color w:val="000000"/>
        </w:rPr>
        <w:t>(б) натријум-L-аскорбат</w:t>
      </w:r>
    </w:p>
    <w:p w:rsidR="008875F4" w:rsidRDefault="00D02735">
      <w:pPr>
        <w:spacing w:after="150"/>
      </w:pPr>
      <w:r>
        <w:rPr>
          <w:color w:val="000000"/>
        </w:rPr>
        <w:t xml:space="preserve">(ц) калцијум-L-аскорбат ( </w:t>
      </w:r>
      <w:r>
        <w:rPr>
          <w:color w:val="000000"/>
          <w:vertAlign w:val="superscript"/>
        </w:rPr>
        <w:t>5</w:t>
      </w:r>
      <w:r>
        <w:rPr>
          <w:color w:val="000000"/>
        </w:rPr>
        <w:t xml:space="preserve"> )</w:t>
      </w:r>
    </w:p>
    <w:p w:rsidR="008875F4" w:rsidRDefault="00D02735">
      <w:pPr>
        <w:spacing w:after="150"/>
      </w:pPr>
      <w:r>
        <w:rPr>
          <w:color w:val="000000"/>
        </w:rPr>
        <w:t>(д) калијум-L-аскорбат</w:t>
      </w:r>
    </w:p>
    <w:p w:rsidR="008875F4" w:rsidRDefault="00D02735">
      <w:pPr>
        <w:spacing w:after="150"/>
      </w:pPr>
      <w:r>
        <w:rPr>
          <w:color w:val="000000"/>
        </w:rPr>
        <w:t>(е) L-аскорбил-6-палмитат</w:t>
      </w:r>
    </w:p>
    <w:p w:rsidR="008875F4" w:rsidRDefault="00D02735">
      <w:pPr>
        <w:spacing w:after="150"/>
      </w:pPr>
      <w:r>
        <w:rPr>
          <w:color w:val="000000"/>
        </w:rPr>
        <w:t>(ф) магнезијум-L-аскорбат</w:t>
      </w:r>
    </w:p>
    <w:p w:rsidR="008875F4" w:rsidRDefault="00D02735">
      <w:pPr>
        <w:spacing w:after="150"/>
      </w:pPr>
      <w:r>
        <w:rPr>
          <w:color w:val="000000"/>
        </w:rPr>
        <w:t>(г) цинк-L-аскорбат</w:t>
      </w:r>
    </w:p>
    <w:p w:rsidR="008875F4" w:rsidRDefault="00D02735">
      <w:pPr>
        <w:spacing w:after="150"/>
      </w:pPr>
      <w:r>
        <w:rPr>
          <w:color w:val="000000"/>
        </w:rPr>
        <w:t xml:space="preserve">Б. </w:t>
      </w:r>
      <w:r>
        <w:rPr>
          <w:b/>
          <w:color w:val="000000"/>
        </w:rPr>
        <w:t>Минерали</w:t>
      </w:r>
    </w:p>
    <w:p w:rsidR="008875F4" w:rsidRDefault="00D02735">
      <w:pPr>
        <w:spacing w:after="150"/>
      </w:pPr>
      <w:r>
        <w:rPr>
          <w:color w:val="000000"/>
        </w:rPr>
        <w:t>калцијум-ацетат</w:t>
      </w:r>
    </w:p>
    <w:p w:rsidR="008875F4" w:rsidRDefault="00D02735">
      <w:pPr>
        <w:spacing w:after="150"/>
      </w:pPr>
      <w:r>
        <w:rPr>
          <w:color w:val="000000"/>
        </w:rPr>
        <w:t>калцијум-L-аскорбат</w:t>
      </w:r>
    </w:p>
    <w:p w:rsidR="008875F4" w:rsidRDefault="00D02735">
      <w:pPr>
        <w:spacing w:after="150"/>
      </w:pPr>
      <w:r>
        <w:rPr>
          <w:color w:val="000000"/>
        </w:rPr>
        <w:t>калцијум-бисглицинат</w:t>
      </w:r>
    </w:p>
    <w:p w:rsidR="008875F4" w:rsidRDefault="00D02735">
      <w:pPr>
        <w:spacing w:after="150"/>
      </w:pPr>
      <w:r>
        <w:rPr>
          <w:color w:val="000000"/>
        </w:rPr>
        <w:t>калцијум-карбонат</w:t>
      </w:r>
    </w:p>
    <w:p w:rsidR="008875F4" w:rsidRDefault="00D02735">
      <w:pPr>
        <w:spacing w:after="150"/>
      </w:pPr>
      <w:r>
        <w:rPr>
          <w:color w:val="000000"/>
        </w:rPr>
        <w:t>калцијум-хлорид</w:t>
      </w:r>
    </w:p>
    <w:p w:rsidR="008875F4" w:rsidRDefault="00D02735">
      <w:pPr>
        <w:spacing w:after="150"/>
      </w:pPr>
      <w:r>
        <w:rPr>
          <w:color w:val="000000"/>
        </w:rPr>
        <w:t>калцијум-цитрат-малат</w:t>
      </w:r>
    </w:p>
    <w:p w:rsidR="008875F4" w:rsidRDefault="00D02735">
      <w:pPr>
        <w:spacing w:after="150"/>
      </w:pPr>
      <w:r>
        <w:rPr>
          <w:color w:val="000000"/>
        </w:rPr>
        <w:t>калцијумове соли лимунске киселине</w:t>
      </w:r>
    </w:p>
    <w:p w:rsidR="008875F4" w:rsidRDefault="00D02735">
      <w:pPr>
        <w:spacing w:after="150"/>
      </w:pPr>
      <w:r>
        <w:rPr>
          <w:color w:val="000000"/>
        </w:rPr>
        <w:t>калцијум-глуконат</w:t>
      </w:r>
    </w:p>
    <w:p w:rsidR="008875F4" w:rsidRDefault="00D02735">
      <w:pPr>
        <w:spacing w:after="150"/>
      </w:pPr>
      <w:r>
        <w:rPr>
          <w:color w:val="000000"/>
        </w:rPr>
        <w:t>калцијум-глицерофосфат</w:t>
      </w:r>
    </w:p>
    <w:p w:rsidR="008875F4" w:rsidRDefault="00D02735">
      <w:pPr>
        <w:spacing w:after="150"/>
      </w:pPr>
      <w:r>
        <w:rPr>
          <w:color w:val="000000"/>
        </w:rPr>
        <w:t>калцијум-лактат</w:t>
      </w:r>
    </w:p>
    <w:p w:rsidR="008875F4" w:rsidRDefault="00D02735">
      <w:pPr>
        <w:spacing w:after="150"/>
      </w:pPr>
      <w:r>
        <w:rPr>
          <w:color w:val="000000"/>
        </w:rPr>
        <w:t>калцијум-пируват</w:t>
      </w:r>
    </w:p>
    <w:p w:rsidR="008875F4" w:rsidRDefault="00D02735">
      <w:pPr>
        <w:spacing w:after="150"/>
      </w:pPr>
      <w:r>
        <w:rPr>
          <w:color w:val="000000"/>
        </w:rPr>
        <w:t>калцијумове соли ортофосфорне киселине</w:t>
      </w:r>
    </w:p>
    <w:p w:rsidR="008875F4" w:rsidRDefault="00D02735">
      <w:pPr>
        <w:spacing w:after="150"/>
      </w:pPr>
      <w:r>
        <w:rPr>
          <w:color w:val="000000"/>
        </w:rPr>
        <w:t>калцијум-сукцинат</w:t>
      </w:r>
    </w:p>
    <w:p w:rsidR="008875F4" w:rsidRDefault="00D02735">
      <w:pPr>
        <w:spacing w:after="150"/>
      </w:pPr>
      <w:r>
        <w:rPr>
          <w:color w:val="000000"/>
        </w:rPr>
        <w:lastRenderedPageBreak/>
        <w:t>калцијум-хидроксид</w:t>
      </w:r>
    </w:p>
    <w:p w:rsidR="008875F4" w:rsidRDefault="00D02735">
      <w:pPr>
        <w:spacing w:after="150"/>
      </w:pPr>
      <w:r>
        <w:rPr>
          <w:color w:val="000000"/>
        </w:rPr>
        <w:t>калцијум-L-лизи</w:t>
      </w:r>
      <w:r>
        <w:rPr>
          <w:color w:val="000000"/>
        </w:rPr>
        <w:t>нат</w:t>
      </w:r>
    </w:p>
    <w:p w:rsidR="008875F4" w:rsidRDefault="00D02735">
      <w:pPr>
        <w:spacing w:after="150"/>
      </w:pPr>
      <w:r>
        <w:rPr>
          <w:color w:val="000000"/>
        </w:rPr>
        <w:t>калцијум-малат</w:t>
      </w:r>
    </w:p>
    <w:p w:rsidR="008875F4" w:rsidRDefault="00D02735">
      <w:pPr>
        <w:spacing w:after="150"/>
      </w:pPr>
      <w:r>
        <w:rPr>
          <w:color w:val="000000"/>
        </w:rPr>
        <w:t>калцијум-оксид</w:t>
      </w:r>
    </w:p>
    <w:p w:rsidR="008875F4" w:rsidRDefault="00D02735">
      <w:pPr>
        <w:spacing w:after="150"/>
      </w:pPr>
      <w:r>
        <w:rPr>
          <w:color w:val="000000"/>
        </w:rPr>
        <w:t>калцијум-L-пидолат</w:t>
      </w:r>
    </w:p>
    <w:p w:rsidR="008875F4" w:rsidRDefault="00D02735">
      <w:pPr>
        <w:spacing w:after="150"/>
      </w:pPr>
      <w:r>
        <w:rPr>
          <w:color w:val="000000"/>
        </w:rPr>
        <w:t>калцијум-L-треонат</w:t>
      </w:r>
    </w:p>
    <w:p w:rsidR="008875F4" w:rsidRDefault="00D02735">
      <w:pPr>
        <w:spacing w:after="150"/>
      </w:pPr>
      <w:r>
        <w:rPr>
          <w:color w:val="000000"/>
        </w:rPr>
        <w:t>калцијум-сулфат</w:t>
      </w:r>
    </w:p>
    <w:p w:rsidR="008875F4" w:rsidRDefault="00D02735">
      <w:pPr>
        <w:spacing w:after="150"/>
      </w:pPr>
      <w:r>
        <w:rPr>
          <w:color w:val="000000"/>
        </w:rPr>
        <w:t>калцијум-фосфорил олигосахариди</w:t>
      </w:r>
    </w:p>
    <w:p w:rsidR="008875F4" w:rsidRDefault="00D02735">
      <w:pPr>
        <w:spacing w:after="150"/>
      </w:pPr>
      <w:r>
        <w:rPr>
          <w:color w:val="000000"/>
        </w:rPr>
        <w:t>магнезијум-ацетат</w:t>
      </w:r>
    </w:p>
    <w:p w:rsidR="008875F4" w:rsidRDefault="00D02735">
      <w:pPr>
        <w:spacing w:after="150"/>
      </w:pPr>
      <w:r>
        <w:rPr>
          <w:color w:val="000000"/>
        </w:rPr>
        <w:t>магнезијум-L-аскорбат</w:t>
      </w:r>
    </w:p>
    <w:p w:rsidR="008875F4" w:rsidRDefault="00D02735">
      <w:pPr>
        <w:spacing w:after="150"/>
      </w:pPr>
      <w:r>
        <w:rPr>
          <w:color w:val="000000"/>
        </w:rPr>
        <w:t>магнезијум-бисглицинат</w:t>
      </w:r>
    </w:p>
    <w:p w:rsidR="008875F4" w:rsidRDefault="00D02735">
      <w:pPr>
        <w:spacing w:after="150"/>
      </w:pPr>
      <w:r>
        <w:rPr>
          <w:color w:val="000000"/>
        </w:rPr>
        <w:t>магнезијум-карбонат</w:t>
      </w:r>
    </w:p>
    <w:p w:rsidR="008875F4" w:rsidRDefault="00D02735">
      <w:pPr>
        <w:spacing w:after="150"/>
      </w:pPr>
      <w:r>
        <w:rPr>
          <w:color w:val="000000"/>
        </w:rPr>
        <w:t>магнезијум-хлорид</w:t>
      </w:r>
    </w:p>
    <w:p w:rsidR="008875F4" w:rsidRDefault="00D02735">
      <w:pPr>
        <w:spacing w:after="150"/>
      </w:pPr>
      <w:r>
        <w:rPr>
          <w:color w:val="000000"/>
        </w:rPr>
        <w:t>магнезијум-цитрат-малат</w:t>
      </w:r>
    </w:p>
    <w:p w:rsidR="008875F4" w:rsidRDefault="00D02735">
      <w:pPr>
        <w:spacing w:after="150"/>
      </w:pPr>
      <w:r>
        <w:rPr>
          <w:color w:val="000000"/>
        </w:rPr>
        <w:t>магнезијумо</w:t>
      </w:r>
      <w:r>
        <w:rPr>
          <w:color w:val="000000"/>
        </w:rPr>
        <w:t>ве соли лимунске киселине</w:t>
      </w:r>
    </w:p>
    <w:p w:rsidR="008875F4" w:rsidRDefault="00D02735">
      <w:pPr>
        <w:spacing w:after="150"/>
      </w:pPr>
      <w:r>
        <w:rPr>
          <w:color w:val="000000"/>
        </w:rPr>
        <w:t>магнезијум-глуконат</w:t>
      </w:r>
    </w:p>
    <w:p w:rsidR="008875F4" w:rsidRDefault="00D02735">
      <w:pPr>
        <w:spacing w:after="150"/>
      </w:pPr>
      <w:r>
        <w:rPr>
          <w:color w:val="000000"/>
        </w:rPr>
        <w:t>магнезијум-глицерофосфат</w:t>
      </w:r>
    </w:p>
    <w:p w:rsidR="008875F4" w:rsidRDefault="00D02735">
      <w:pPr>
        <w:spacing w:after="150"/>
      </w:pPr>
      <w:r>
        <w:rPr>
          <w:color w:val="000000"/>
        </w:rPr>
        <w:t>магнезијумове соли ортофосфорне киселине</w:t>
      </w:r>
    </w:p>
    <w:p w:rsidR="008875F4" w:rsidRDefault="00D02735">
      <w:pPr>
        <w:spacing w:after="150"/>
      </w:pPr>
      <w:r>
        <w:rPr>
          <w:color w:val="000000"/>
        </w:rPr>
        <w:t>магнезијум-лактат</w:t>
      </w:r>
    </w:p>
    <w:p w:rsidR="008875F4" w:rsidRDefault="00D02735">
      <w:pPr>
        <w:spacing w:after="150"/>
      </w:pPr>
      <w:r>
        <w:rPr>
          <w:color w:val="000000"/>
        </w:rPr>
        <w:t>магнезијум-L-лизинат</w:t>
      </w:r>
    </w:p>
    <w:p w:rsidR="008875F4" w:rsidRDefault="00D02735">
      <w:pPr>
        <w:spacing w:after="150"/>
      </w:pPr>
      <w:r>
        <w:rPr>
          <w:color w:val="000000"/>
        </w:rPr>
        <w:t>магнезијум-хидроксид</w:t>
      </w:r>
    </w:p>
    <w:p w:rsidR="008875F4" w:rsidRDefault="00D02735">
      <w:pPr>
        <w:spacing w:after="150"/>
      </w:pPr>
      <w:r>
        <w:rPr>
          <w:color w:val="000000"/>
        </w:rPr>
        <w:t>магнезијум-малат</w:t>
      </w:r>
    </w:p>
    <w:p w:rsidR="008875F4" w:rsidRDefault="00D02735">
      <w:pPr>
        <w:spacing w:after="150"/>
      </w:pPr>
      <w:r>
        <w:rPr>
          <w:color w:val="000000"/>
        </w:rPr>
        <w:t>магнезијум-оксид</w:t>
      </w:r>
    </w:p>
    <w:p w:rsidR="008875F4" w:rsidRDefault="00D02735">
      <w:pPr>
        <w:spacing w:after="150"/>
      </w:pPr>
      <w:r>
        <w:rPr>
          <w:color w:val="000000"/>
        </w:rPr>
        <w:t>магнезијум-L-пидолат</w:t>
      </w:r>
    </w:p>
    <w:p w:rsidR="008875F4" w:rsidRDefault="00D02735">
      <w:pPr>
        <w:spacing w:after="150"/>
      </w:pPr>
      <w:r>
        <w:rPr>
          <w:color w:val="000000"/>
        </w:rPr>
        <w:t>магнезијум-калијум-цитрат</w:t>
      </w:r>
    </w:p>
    <w:p w:rsidR="008875F4" w:rsidRDefault="00D02735">
      <w:pPr>
        <w:spacing w:after="150"/>
      </w:pPr>
      <w:r>
        <w:rPr>
          <w:color w:val="000000"/>
        </w:rPr>
        <w:t>магнезијум-пируват</w:t>
      </w:r>
    </w:p>
    <w:p w:rsidR="008875F4" w:rsidRDefault="00D02735">
      <w:pPr>
        <w:spacing w:after="150"/>
      </w:pPr>
      <w:r>
        <w:rPr>
          <w:color w:val="000000"/>
        </w:rPr>
        <w:t>магнезијум-сукцинат</w:t>
      </w:r>
    </w:p>
    <w:p w:rsidR="008875F4" w:rsidRDefault="00D02735">
      <w:pPr>
        <w:spacing w:after="150"/>
      </w:pPr>
      <w:r>
        <w:rPr>
          <w:color w:val="000000"/>
        </w:rPr>
        <w:t>магнезијум-сулфат</w:t>
      </w:r>
    </w:p>
    <w:p w:rsidR="008875F4" w:rsidRDefault="00D02735">
      <w:pPr>
        <w:spacing w:after="150"/>
      </w:pPr>
      <w:r>
        <w:rPr>
          <w:color w:val="000000"/>
        </w:rPr>
        <w:t>магнезијум-таурат</w:t>
      </w:r>
    </w:p>
    <w:p w:rsidR="008875F4" w:rsidRDefault="00D02735">
      <w:pPr>
        <w:spacing w:after="150"/>
      </w:pPr>
      <w:r>
        <w:rPr>
          <w:color w:val="000000"/>
        </w:rPr>
        <w:t>магнезијум-ацетилтаурат</w:t>
      </w:r>
    </w:p>
    <w:p w:rsidR="008875F4" w:rsidRDefault="00D02735">
      <w:pPr>
        <w:spacing w:after="150"/>
      </w:pPr>
      <w:r>
        <w:rPr>
          <w:color w:val="000000"/>
        </w:rPr>
        <w:lastRenderedPageBreak/>
        <w:t>Гвожђе(II)-карбонат</w:t>
      </w:r>
    </w:p>
    <w:p w:rsidR="008875F4" w:rsidRDefault="00D02735">
      <w:pPr>
        <w:spacing w:after="150"/>
      </w:pPr>
      <w:r>
        <w:rPr>
          <w:color w:val="000000"/>
        </w:rPr>
        <w:t>Гвожђе(II)-цитрат</w:t>
      </w:r>
    </w:p>
    <w:p w:rsidR="008875F4" w:rsidRDefault="00D02735">
      <w:pPr>
        <w:spacing w:after="150"/>
      </w:pPr>
      <w:r>
        <w:rPr>
          <w:color w:val="000000"/>
        </w:rPr>
        <w:t>Гвожђе(III)-амонијум-цитрат</w:t>
      </w:r>
    </w:p>
    <w:p w:rsidR="008875F4" w:rsidRDefault="00D02735">
      <w:pPr>
        <w:spacing w:after="150"/>
      </w:pPr>
      <w:r>
        <w:rPr>
          <w:color w:val="000000"/>
        </w:rPr>
        <w:t>Гвожђе(II)-глуконат</w:t>
      </w:r>
    </w:p>
    <w:p w:rsidR="008875F4" w:rsidRDefault="00D02735">
      <w:pPr>
        <w:spacing w:after="150"/>
      </w:pPr>
      <w:r>
        <w:rPr>
          <w:color w:val="000000"/>
        </w:rPr>
        <w:t>Гвожђе(II)-фумарат</w:t>
      </w:r>
    </w:p>
    <w:p w:rsidR="008875F4" w:rsidRDefault="00D02735">
      <w:pPr>
        <w:spacing w:after="150"/>
      </w:pPr>
      <w:r>
        <w:rPr>
          <w:color w:val="000000"/>
        </w:rPr>
        <w:t>Гвожђе(III)-натријум-дифосфат</w:t>
      </w:r>
    </w:p>
    <w:p w:rsidR="008875F4" w:rsidRDefault="00D02735">
      <w:pPr>
        <w:spacing w:after="150"/>
      </w:pPr>
      <w:r>
        <w:rPr>
          <w:color w:val="000000"/>
        </w:rPr>
        <w:t>Гвожђе(II)-лактат</w:t>
      </w:r>
    </w:p>
    <w:p w:rsidR="008875F4" w:rsidRDefault="00D02735">
      <w:pPr>
        <w:spacing w:after="150"/>
      </w:pPr>
      <w:r>
        <w:rPr>
          <w:color w:val="000000"/>
        </w:rPr>
        <w:t>Гвожђе(II)-сулфат</w:t>
      </w:r>
    </w:p>
    <w:p w:rsidR="008875F4" w:rsidRDefault="00D02735">
      <w:pPr>
        <w:spacing w:after="150"/>
      </w:pPr>
      <w:r>
        <w:rPr>
          <w:color w:val="000000"/>
        </w:rPr>
        <w:t>Гвожђе(III)-дифосфат [гвожђе(III)-пирофосфат]</w:t>
      </w:r>
    </w:p>
    <w:p w:rsidR="008875F4" w:rsidRDefault="00D02735">
      <w:pPr>
        <w:spacing w:after="150"/>
      </w:pPr>
      <w:r>
        <w:rPr>
          <w:color w:val="000000"/>
        </w:rPr>
        <w:t>Гвожђе(III)-сахарат</w:t>
      </w:r>
    </w:p>
    <w:p w:rsidR="008875F4" w:rsidRDefault="00D02735">
      <w:pPr>
        <w:spacing w:after="150"/>
      </w:pPr>
      <w:r>
        <w:rPr>
          <w:color w:val="000000"/>
        </w:rPr>
        <w:t>Елементарно гвожђе (карбонилно, електролитичко или редуковано водоником)</w:t>
      </w:r>
    </w:p>
    <w:p w:rsidR="008875F4" w:rsidRDefault="00D02735">
      <w:pPr>
        <w:spacing w:after="150"/>
      </w:pPr>
      <w:r>
        <w:rPr>
          <w:color w:val="000000"/>
        </w:rPr>
        <w:t>Гвожђе(II)-бисглицинат</w:t>
      </w:r>
    </w:p>
    <w:p w:rsidR="008875F4" w:rsidRDefault="00D02735">
      <w:pPr>
        <w:spacing w:after="150"/>
      </w:pPr>
      <w:r>
        <w:rPr>
          <w:color w:val="000000"/>
        </w:rPr>
        <w:t>Гвожђе(III)-L-пидолат</w:t>
      </w:r>
    </w:p>
    <w:p w:rsidR="008875F4" w:rsidRDefault="00D02735">
      <w:pPr>
        <w:spacing w:after="150"/>
      </w:pPr>
      <w:r>
        <w:rPr>
          <w:color w:val="000000"/>
        </w:rPr>
        <w:t>Гвожђе(II)-фосфат</w:t>
      </w:r>
    </w:p>
    <w:p w:rsidR="008875F4" w:rsidRDefault="00D02735">
      <w:pPr>
        <w:spacing w:after="150"/>
      </w:pPr>
      <w:r>
        <w:rPr>
          <w:color w:val="000000"/>
        </w:rPr>
        <w:t>Гвожђе(II)-амонијумфосфат</w:t>
      </w:r>
    </w:p>
    <w:p w:rsidR="008875F4" w:rsidRDefault="00D02735">
      <w:pPr>
        <w:spacing w:after="150"/>
      </w:pPr>
      <w:r>
        <w:rPr>
          <w:color w:val="000000"/>
        </w:rPr>
        <w:t>Гвожђе(III</w:t>
      </w:r>
      <w:r>
        <w:rPr>
          <w:color w:val="000000"/>
        </w:rPr>
        <w:t>), натријум-EDTA</w:t>
      </w:r>
    </w:p>
    <w:p w:rsidR="008875F4" w:rsidRDefault="00D02735">
      <w:pPr>
        <w:spacing w:after="150"/>
      </w:pPr>
      <w:r>
        <w:rPr>
          <w:color w:val="000000"/>
        </w:rPr>
        <w:t>Гвожђе(II)-таурат</w:t>
      </w:r>
    </w:p>
    <w:p w:rsidR="008875F4" w:rsidRDefault="00D02735">
      <w:pPr>
        <w:spacing w:after="150"/>
      </w:pPr>
      <w:r>
        <w:rPr>
          <w:color w:val="000000"/>
        </w:rPr>
        <w:t>Бакар(II)-карбонат</w:t>
      </w:r>
    </w:p>
    <w:p w:rsidR="008875F4" w:rsidRDefault="00D02735">
      <w:pPr>
        <w:spacing w:after="150"/>
      </w:pPr>
      <w:r>
        <w:rPr>
          <w:color w:val="000000"/>
        </w:rPr>
        <w:t>Бакар(II)-цитрат</w:t>
      </w:r>
    </w:p>
    <w:p w:rsidR="008875F4" w:rsidRDefault="00D02735">
      <w:pPr>
        <w:spacing w:after="150"/>
      </w:pPr>
      <w:r>
        <w:rPr>
          <w:color w:val="000000"/>
        </w:rPr>
        <w:t>Бакар(II)-глуконат</w:t>
      </w:r>
    </w:p>
    <w:p w:rsidR="008875F4" w:rsidRDefault="00D02735">
      <w:pPr>
        <w:spacing w:after="150"/>
      </w:pPr>
      <w:r>
        <w:rPr>
          <w:color w:val="000000"/>
        </w:rPr>
        <w:t>Бакар(II)-сулфат</w:t>
      </w:r>
    </w:p>
    <w:p w:rsidR="008875F4" w:rsidRDefault="00D02735">
      <w:pPr>
        <w:spacing w:after="150"/>
      </w:pPr>
      <w:r>
        <w:rPr>
          <w:color w:val="000000"/>
        </w:rPr>
        <w:t>Бакар(II)-L-аспартат</w:t>
      </w:r>
    </w:p>
    <w:p w:rsidR="008875F4" w:rsidRDefault="00D02735">
      <w:pPr>
        <w:spacing w:after="150"/>
      </w:pPr>
      <w:r>
        <w:rPr>
          <w:color w:val="000000"/>
        </w:rPr>
        <w:t>Бакар(II)-бисглицинат</w:t>
      </w:r>
    </w:p>
    <w:p w:rsidR="008875F4" w:rsidRDefault="00D02735">
      <w:pPr>
        <w:spacing w:after="150"/>
      </w:pPr>
      <w:r>
        <w:rPr>
          <w:color w:val="000000"/>
        </w:rPr>
        <w:t>Бакар-лизин комплекс</w:t>
      </w:r>
    </w:p>
    <w:p w:rsidR="008875F4" w:rsidRDefault="00D02735">
      <w:pPr>
        <w:spacing w:after="150"/>
      </w:pPr>
      <w:r>
        <w:rPr>
          <w:color w:val="000000"/>
        </w:rPr>
        <w:t>Бакар(II)-оксид</w:t>
      </w:r>
    </w:p>
    <w:p w:rsidR="008875F4" w:rsidRDefault="00D02735">
      <w:pPr>
        <w:spacing w:after="150"/>
      </w:pPr>
      <w:r>
        <w:rPr>
          <w:color w:val="000000"/>
        </w:rPr>
        <w:t>Натријум-јодид</w:t>
      </w:r>
    </w:p>
    <w:p w:rsidR="008875F4" w:rsidRDefault="00D02735">
      <w:pPr>
        <w:spacing w:after="150"/>
      </w:pPr>
      <w:r>
        <w:rPr>
          <w:color w:val="000000"/>
        </w:rPr>
        <w:t>Натријум-јодат</w:t>
      </w:r>
    </w:p>
    <w:p w:rsidR="008875F4" w:rsidRDefault="00D02735">
      <w:pPr>
        <w:spacing w:after="150"/>
      </w:pPr>
      <w:r>
        <w:rPr>
          <w:color w:val="000000"/>
        </w:rPr>
        <w:t>Калијум-јодид</w:t>
      </w:r>
    </w:p>
    <w:p w:rsidR="008875F4" w:rsidRDefault="00D02735">
      <w:pPr>
        <w:spacing w:after="150"/>
      </w:pPr>
      <w:r>
        <w:rPr>
          <w:color w:val="000000"/>
        </w:rPr>
        <w:t>Калијум-јодат</w:t>
      </w:r>
    </w:p>
    <w:p w:rsidR="008875F4" w:rsidRDefault="00D02735">
      <w:pPr>
        <w:spacing w:after="150"/>
      </w:pPr>
      <w:r>
        <w:rPr>
          <w:color w:val="000000"/>
        </w:rPr>
        <w:t>Цинк-цетат</w:t>
      </w:r>
    </w:p>
    <w:p w:rsidR="008875F4" w:rsidRDefault="00D02735">
      <w:pPr>
        <w:spacing w:after="150"/>
      </w:pPr>
      <w:r>
        <w:rPr>
          <w:color w:val="000000"/>
        </w:rPr>
        <w:lastRenderedPageBreak/>
        <w:t>Цинк-L-аскорбат</w:t>
      </w:r>
    </w:p>
    <w:p w:rsidR="008875F4" w:rsidRDefault="00D02735">
      <w:pPr>
        <w:spacing w:after="150"/>
      </w:pPr>
      <w:r>
        <w:rPr>
          <w:color w:val="000000"/>
        </w:rPr>
        <w:t>Цинк-L-аспартат</w:t>
      </w:r>
    </w:p>
    <w:p w:rsidR="008875F4" w:rsidRDefault="00D02735">
      <w:pPr>
        <w:spacing w:after="150"/>
      </w:pPr>
      <w:r>
        <w:rPr>
          <w:color w:val="000000"/>
        </w:rPr>
        <w:t>Цинк-бисглицинат</w:t>
      </w:r>
    </w:p>
    <w:p w:rsidR="008875F4" w:rsidRDefault="00D02735">
      <w:pPr>
        <w:spacing w:after="150"/>
      </w:pPr>
      <w:r>
        <w:rPr>
          <w:color w:val="000000"/>
        </w:rPr>
        <w:t>Цинк-хлорид</w:t>
      </w:r>
    </w:p>
    <w:p w:rsidR="008875F4" w:rsidRDefault="00D02735">
      <w:pPr>
        <w:spacing w:after="150"/>
      </w:pPr>
      <w:r>
        <w:rPr>
          <w:color w:val="000000"/>
        </w:rPr>
        <w:t>Цинк-цитрат</w:t>
      </w:r>
    </w:p>
    <w:p w:rsidR="008875F4" w:rsidRDefault="00D02735">
      <w:pPr>
        <w:spacing w:after="150"/>
      </w:pPr>
      <w:r>
        <w:rPr>
          <w:color w:val="000000"/>
        </w:rPr>
        <w:t>Цинк-глуконат</w:t>
      </w:r>
    </w:p>
    <w:p w:rsidR="008875F4" w:rsidRDefault="00D02735">
      <w:pPr>
        <w:spacing w:after="150"/>
      </w:pPr>
      <w:r>
        <w:rPr>
          <w:color w:val="000000"/>
        </w:rPr>
        <w:t>Цинк-лактат</w:t>
      </w:r>
    </w:p>
    <w:p w:rsidR="008875F4" w:rsidRDefault="00D02735">
      <w:pPr>
        <w:spacing w:after="150"/>
      </w:pPr>
      <w:r>
        <w:rPr>
          <w:color w:val="000000"/>
        </w:rPr>
        <w:t>Цинк-L-лизинат</w:t>
      </w:r>
    </w:p>
    <w:p w:rsidR="008875F4" w:rsidRDefault="00D02735">
      <w:pPr>
        <w:spacing w:after="150"/>
      </w:pPr>
      <w:r>
        <w:rPr>
          <w:color w:val="000000"/>
        </w:rPr>
        <w:t>Цинк-малат</w:t>
      </w:r>
    </w:p>
    <w:p w:rsidR="008875F4" w:rsidRDefault="00D02735">
      <w:pPr>
        <w:spacing w:after="150"/>
      </w:pPr>
      <w:r>
        <w:rPr>
          <w:color w:val="000000"/>
        </w:rPr>
        <w:t>Цинк-моно-L-метионин сулфат</w:t>
      </w:r>
    </w:p>
    <w:p w:rsidR="008875F4" w:rsidRDefault="00D02735">
      <w:pPr>
        <w:spacing w:after="150"/>
      </w:pPr>
      <w:r>
        <w:rPr>
          <w:color w:val="000000"/>
        </w:rPr>
        <w:t>Цинк-оксид</w:t>
      </w:r>
    </w:p>
    <w:p w:rsidR="008875F4" w:rsidRDefault="00D02735">
      <w:pPr>
        <w:spacing w:after="150"/>
      </w:pPr>
      <w:r>
        <w:rPr>
          <w:color w:val="000000"/>
        </w:rPr>
        <w:t>Цинк-карбонат</w:t>
      </w:r>
    </w:p>
    <w:p w:rsidR="008875F4" w:rsidRDefault="00D02735">
      <w:pPr>
        <w:spacing w:after="150"/>
      </w:pPr>
      <w:r>
        <w:rPr>
          <w:color w:val="000000"/>
        </w:rPr>
        <w:t>Цинк-L-пидолат</w:t>
      </w:r>
    </w:p>
    <w:p w:rsidR="008875F4" w:rsidRDefault="00D02735">
      <w:pPr>
        <w:spacing w:after="150"/>
      </w:pPr>
      <w:r>
        <w:rPr>
          <w:color w:val="000000"/>
        </w:rPr>
        <w:t>Цинк-пиколинат</w:t>
      </w:r>
    </w:p>
    <w:p w:rsidR="008875F4" w:rsidRDefault="00D02735">
      <w:pPr>
        <w:spacing w:after="150"/>
      </w:pPr>
      <w:r>
        <w:rPr>
          <w:color w:val="000000"/>
        </w:rPr>
        <w:t>Цинк-сулфат</w:t>
      </w:r>
    </w:p>
    <w:p w:rsidR="008875F4" w:rsidRDefault="00D02735">
      <w:pPr>
        <w:spacing w:after="150"/>
      </w:pPr>
      <w:r>
        <w:rPr>
          <w:color w:val="000000"/>
        </w:rPr>
        <w:t>Манган-аскорбат</w:t>
      </w:r>
    </w:p>
    <w:p w:rsidR="008875F4" w:rsidRDefault="00D02735">
      <w:pPr>
        <w:spacing w:after="150"/>
      </w:pPr>
      <w:r>
        <w:rPr>
          <w:color w:val="000000"/>
        </w:rPr>
        <w:t>Манган-L-аспартат</w:t>
      </w:r>
    </w:p>
    <w:p w:rsidR="008875F4" w:rsidRDefault="00D02735">
      <w:pPr>
        <w:spacing w:after="150"/>
      </w:pPr>
      <w:r>
        <w:rPr>
          <w:color w:val="000000"/>
        </w:rPr>
        <w:t>Манган-бисглицинат</w:t>
      </w:r>
    </w:p>
    <w:p w:rsidR="008875F4" w:rsidRDefault="00D02735">
      <w:pPr>
        <w:spacing w:after="150"/>
      </w:pPr>
      <w:r>
        <w:rPr>
          <w:color w:val="000000"/>
        </w:rPr>
        <w:t>Манган-карбонат</w:t>
      </w:r>
    </w:p>
    <w:p w:rsidR="008875F4" w:rsidRDefault="00D02735">
      <w:pPr>
        <w:spacing w:after="150"/>
      </w:pPr>
      <w:r>
        <w:rPr>
          <w:color w:val="000000"/>
        </w:rPr>
        <w:t>Манган-хлорид</w:t>
      </w:r>
    </w:p>
    <w:p w:rsidR="008875F4" w:rsidRDefault="00D02735">
      <w:pPr>
        <w:spacing w:after="150"/>
      </w:pPr>
      <w:r>
        <w:rPr>
          <w:color w:val="000000"/>
        </w:rPr>
        <w:t>Манган-цитрат</w:t>
      </w:r>
    </w:p>
    <w:p w:rsidR="008875F4" w:rsidRDefault="00D02735">
      <w:pPr>
        <w:spacing w:after="150"/>
      </w:pPr>
      <w:r>
        <w:rPr>
          <w:color w:val="000000"/>
        </w:rPr>
        <w:t>Манган-глуконат</w:t>
      </w:r>
    </w:p>
    <w:p w:rsidR="008875F4" w:rsidRDefault="00D02735">
      <w:pPr>
        <w:spacing w:after="150"/>
      </w:pPr>
      <w:r>
        <w:rPr>
          <w:color w:val="000000"/>
        </w:rPr>
        <w:t>Манган-глицерофосфат</w:t>
      </w:r>
    </w:p>
    <w:p w:rsidR="008875F4" w:rsidRDefault="00D02735">
      <w:pPr>
        <w:spacing w:after="150"/>
      </w:pPr>
      <w:r>
        <w:rPr>
          <w:color w:val="000000"/>
        </w:rPr>
        <w:t>Манган-пидолат</w:t>
      </w:r>
    </w:p>
    <w:p w:rsidR="008875F4" w:rsidRDefault="00D02735">
      <w:pPr>
        <w:spacing w:after="150"/>
      </w:pPr>
      <w:r>
        <w:rPr>
          <w:color w:val="000000"/>
        </w:rPr>
        <w:t>Манган-сулфат</w:t>
      </w:r>
    </w:p>
    <w:p w:rsidR="008875F4" w:rsidRDefault="00D02735">
      <w:pPr>
        <w:spacing w:after="150"/>
      </w:pPr>
      <w:r>
        <w:rPr>
          <w:color w:val="000000"/>
        </w:rPr>
        <w:t>Натријум-бикарбонат</w:t>
      </w:r>
    </w:p>
    <w:p w:rsidR="008875F4" w:rsidRDefault="00D02735">
      <w:pPr>
        <w:spacing w:after="150"/>
      </w:pPr>
      <w:r>
        <w:rPr>
          <w:color w:val="000000"/>
        </w:rPr>
        <w:t>Натријум-карбонат</w:t>
      </w:r>
    </w:p>
    <w:p w:rsidR="008875F4" w:rsidRDefault="00D02735">
      <w:pPr>
        <w:spacing w:after="150"/>
      </w:pPr>
      <w:r>
        <w:rPr>
          <w:color w:val="000000"/>
        </w:rPr>
        <w:t>Натријум-хлорид</w:t>
      </w:r>
    </w:p>
    <w:p w:rsidR="008875F4" w:rsidRDefault="00D02735">
      <w:pPr>
        <w:spacing w:after="150"/>
      </w:pPr>
      <w:r>
        <w:rPr>
          <w:color w:val="000000"/>
        </w:rPr>
        <w:t>Натријум-цитрат</w:t>
      </w:r>
    </w:p>
    <w:p w:rsidR="008875F4" w:rsidRDefault="00D02735">
      <w:pPr>
        <w:spacing w:after="150"/>
      </w:pPr>
      <w:r>
        <w:rPr>
          <w:color w:val="000000"/>
        </w:rPr>
        <w:t>Натријум-глуконат</w:t>
      </w:r>
    </w:p>
    <w:p w:rsidR="008875F4" w:rsidRDefault="00D02735">
      <w:pPr>
        <w:spacing w:after="150"/>
      </w:pPr>
      <w:r>
        <w:rPr>
          <w:color w:val="000000"/>
        </w:rPr>
        <w:lastRenderedPageBreak/>
        <w:t>Натријум-лактат</w:t>
      </w:r>
    </w:p>
    <w:p w:rsidR="008875F4" w:rsidRDefault="00D02735">
      <w:pPr>
        <w:spacing w:after="150"/>
      </w:pPr>
      <w:r>
        <w:rPr>
          <w:color w:val="000000"/>
        </w:rPr>
        <w:t>Натријум-хидроксид</w:t>
      </w:r>
    </w:p>
    <w:p w:rsidR="008875F4" w:rsidRDefault="00D02735">
      <w:pPr>
        <w:spacing w:after="150"/>
      </w:pPr>
      <w:r>
        <w:rPr>
          <w:color w:val="000000"/>
        </w:rPr>
        <w:t>Натријумове соли ортофосфорне киселине</w:t>
      </w:r>
    </w:p>
    <w:p w:rsidR="008875F4" w:rsidRDefault="00D02735">
      <w:pPr>
        <w:spacing w:after="150"/>
      </w:pPr>
      <w:r>
        <w:rPr>
          <w:color w:val="000000"/>
        </w:rPr>
        <w:t>Натријум-сулфат</w:t>
      </w:r>
    </w:p>
    <w:p w:rsidR="008875F4" w:rsidRDefault="00D02735">
      <w:pPr>
        <w:spacing w:after="150"/>
      </w:pPr>
      <w:r>
        <w:rPr>
          <w:color w:val="000000"/>
        </w:rPr>
        <w:t>Калијум-сулфат</w:t>
      </w:r>
    </w:p>
    <w:p w:rsidR="008875F4" w:rsidRDefault="00D02735">
      <w:pPr>
        <w:spacing w:after="150"/>
      </w:pPr>
      <w:r>
        <w:rPr>
          <w:color w:val="000000"/>
        </w:rPr>
        <w:t>Калијум-бикарбонат</w:t>
      </w:r>
    </w:p>
    <w:p w:rsidR="008875F4" w:rsidRDefault="00D02735">
      <w:pPr>
        <w:spacing w:after="150"/>
      </w:pPr>
      <w:r>
        <w:rPr>
          <w:color w:val="000000"/>
        </w:rPr>
        <w:t>Калијум-карбонат</w:t>
      </w:r>
    </w:p>
    <w:p w:rsidR="008875F4" w:rsidRDefault="00D02735">
      <w:pPr>
        <w:spacing w:after="150"/>
      </w:pPr>
      <w:r>
        <w:rPr>
          <w:color w:val="000000"/>
        </w:rPr>
        <w:t>Калијум-хлорид</w:t>
      </w:r>
    </w:p>
    <w:p w:rsidR="008875F4" w:rsidRDefault="00D02735">
      <w:pPr>
        <w:spacing w:after="150"/>
      </w:pPr>
      <w:r>
        <w:rPr>
          <w:color w:val="000000"/>
        </w:rPr>
        <w:t>Калијум-цитрат</w:t>
      </w:r>
    </w:p>
    <w:p w:rsidR="008875F4" w:rsidRDefault="00D02735">
      <w:pPr>
        <w:spacing w:after="150"/>
      </w:pPr>
      <w:r>
        <w:rPr>
          <w:color w:val="000000"/>
        </w:rPr>
        <w:t>Калијум-глуконат</w:t>
      </w:r>
    </w:p>
    <w:p w:rsidR="008875F4" w:rsidRDefault="00D02735">
      <w:pPr>
        <w:spacing w:after="150"/>
      </w:pPr>
      <w:r>
        <w:rPr>
          <w:color w:val="000000"/>
        </w:rPr>
        <w:t>Калијум-глицерофосфат</w:t>
      </w:r>
    </w:p>
    <w:p w:rsidR="008875F4" w:rsidRDefault="00D02735">
      <w:pPr>
        <w:spacing w:after="150"/>
      </w:pPr>
      <w:r>
        <w:rPr>
          <w:color w:val="000000"/>
        </w:rPr>
        <w:t>Калијум-лактат</w:t>
      </w:r>
    </w:p>
    <w:p w:rsidR="008875F4" w:rsidRDefault="00D02735">
      <w:pPr>
        <w:spacing w:after="150"/>
      </w:pPr>
      <w:r>
        <w:rPr>
          <w:color w:val="000000"/>
        </w:rPr>
        <w:t>Калијум-хидроксид</w:t>
      </w:r>
    </w:p>
    <w:p w:rsidR="008875F4" w:rsidRDefault="00D02735">
      <w:pPr>
        <w:spacing w:after="150"/>
      </w:pPr>
      <w:r>
        <w:rPr>
          <w:color w:val="000000"/>
        </w:rPr>
        <w:t>Калијум-L-пидолат</w:t>
      </w:r>
    </w:p>
    <w:p w:rsidR="008875F4" w:rsidRDefault="00D02735">
      <w:pPr>
        <w:spacing w:after="150"/>
      </w:pPr>
      <w:r>
        <w:rPr>
          <w:color w:val="000000"/>
        </w:rPr>
        <w:t>Калијум- алат</w:t>
      </w:r>
    </w:p>
    <w:p w:rsidR="008875F4" w:rsidRDefault="00D02735">
      <w:pPr>
        <w:spacing w:after="150"/>
      </w:pPr>
      <w:r>
        <w:rPr>
          <w:color w:val="000000"/>
        </w:rPr>
        <w:t xml:space="preserve">Калијумове соли </w:t>
      </w:r>
      <w:r>
        <w:rPr>
          <w:color w:val="000000"/>
        </w:rPr>
        <w:t>ортофосфорне киселине</w:t>
      </w:r>
    </w:p>
    <w:p w:rsidR="008875F4" w:rsidRDefault="00D02735">
      <w:pPr>
        <w:spacing w:after="150"/>
      </w:pPr>
      <w:r>
        <w:rPr>
          <w:color w:val="000000"/>
        </w:rPr>
        <w:t>L-селенометионин</w:t>
      </w:r>
    </w:p>
    <w:p w:rsidR="008875F4" w:rsidRDefault="00D02735">
      <w:pPr>
        <w:spacing w:after="150"/>
      </w:pPr>
      <w:r>
        <w:rPr>
          <w:color w:val="000000"/>
        </w:rPr>
        <w:t xml:space="preserve">Селеном обогаћени квасци ( </w:t>
      </w:r>
      <w:r>
        <w:rPr>
          <w:color w:val="000000"/>
          <w:vertAlign w:val="superscript"/>
        </w:rPr>
        <w:t>6</w:t>
      </w:r>
      <w:r>
        <w:rPr>
          <w:color w:val="000000"/>
        </w:rPr>
        <w:t xml:space="preserve"> )</w:t>
      </w:r>
    </w:p>
    <w:p w:rsidR="008875F4" w:rsidRDefault="00D02735">
      <w:pPr>
        <w:spacing w:after="150"/>
      </w:pPr>
      <w:r>
        <w:rPr>
          <w:color w:val="000000"/>
        </w:rPr>
        <w:t>Селенаста киселина</w:t>
      </w:r>
    </w:p>
    <w:p w:rsidR="008875F4" w:rsidRDefault="00D02735">
      <w:pPr>
        <w:spacing w:after="150"/>
      </w:pPr>
      <w:r>
        <w:rPr>
          <w:color w:val="000000"/>
        </w:rPr>
        <w:t>Натријум-селенат</w:t>
      </w:r>
    </w:p>
    <w:p w:rsidR="008875F4" w:rsidRDefault="00D02735">
      <w:pPr>
        <w:spacing w:after="150"/>
      </w:pPr>
      <w:r>
        <w:rPr>
          <w:color w:val="000000"/>
        </w:rPr>
        <w:t>Натријум-хидроген селенит</w:t>
      </w:r>
    </w:p>
    <w:p w:rsidR="008875F4" w:rsidRDefault="00D02735">
      <w:pPr>
        <w:spacing w:after="150"/>
      </w:pPr>
      <w:r>
        <w:rPr>
          <w:color w:val="000000"/>
        </w:rPr>
        <w:t>Натријум-селенит</w:t>
      </w:r>
    </w:p>
    <w:p w:rsidR="008875F4" w:rsidRDefault="00D02735">
      <w:pPr>
        <w:spacing w:after="150"/>
      </w:pPr>
      <w:r>
        <w:rPr>
          <w:color w:val="000000"/>
        </w:rPr>
        <w:t>Хром(III)-хлорид</w:t>
      </w:r>
    </w:p>
    <w:p w:rsidR="008875F4" w:rsidRDefault="00D02735">
      <w:pPr>
        <w:spacing w:after="150"/>
      </w:pPr>
      <w:r>
        <w:rPr>
          <w:color w:val="000000"/>
        </w:rPr>
        <w:t xml:space="preserve">Хромом обогаћен квасац ( </w:t>
      </w:r>
      <w:r>
        <w:rPr>
          <w:color w:val="000000"/>
          <w:vertAlign w:val="superscript"/>
        </w:rPr>
        <w:t>7</w:t>
      </w:r>
      <w:r>
        <w:rPr>
          <w:color w:val="000000"/>
        </w:rPr>
        <w:t xml:space="preserve"> )</w:t>
      </w:r>
    </w:p>
    <w:p w:rsidR="008875F4" w:rsidRDefault="00D02735">
      <w:pPr>
        <w:spacing w:after="150"/>
      </w:pPr>
      <w:r>
        <w:rPr>
          <w:color w:val="000000"/>
        </w:rPr>
        <w:t>Хром(III)-лактат трихидрат</w:t>
      </w:r>
    </w:p>
    <w:p w:rsidR="008875F4" w:rsidRDefault="00D02735">
      <w:pPr>
        <w:spacing w:after="150"/>
      </w:pPr>
      <w:r>
        <w:rPr>
          <w:color w:val="000000"/>
        </w:rPr>
        <w:t>Хром(III)-нитрат</w:t>
      </w:r>
    </w:p>
    <w:p w:rsidR="008875F4" w:rsidRDefault="00D02735">
      <w:pPr>
        <w:spacing w:after="150"/>
      </w:pPr>
      <w:r>
        <w:rPr>
          <w:color w:val="000000"/>
        </w:rPr>
        <w:t>Хром(III)-пиколинат</w:t>
      </w:r>
    </w:p>
    <w:p w:rsidR="008875F4" w:rsidRDefault="00D02735">
      <w:pPr>
        <w:spacing w:after="150"/>
      </w:pPr>
      <w:r>
        <w:rPr>
          <w:color w:val="000000"/>
        </w:rPr>
        <w:t>Хром(III)-сулфат</w:t>
      </w:r>
    </w:p>
    <w:p w:rsidR="008875F4" w:rsidRDefault="00D02735">
      <w:pPr>
        <w:spacing w:after="150"/>
      </w:pPr>
      <w:r>
        <w:rPr>
          <w:color w:val="000000"/>
        </w:rPr>
        <w:t>Амонијум-молибдат (молибден (VI)</w:t>
      </w:r>
    </w:p>
    <w:p w:rsidR="008875F4" w:rsidRDefault="00D02735">
      <w:pPr>
        <w:spacing w:after="150"/>
      </w:pPr>
      <w:r>
        <w:rPr>
          <w:color w:val="000000"/>
        </w:rPr>
        <w:t>Калијум-молибдат (молибден (VI)</w:t>
      </w:r>
    </w:p>
    <w:p w:rsidR="008875F4" w:rsidRDefault="00D02735">
      <w:pPr>
        <w:spacing w:after="150"/>
      </w:pPr>
      <w:r>
        <w:rPr>
          <w:color w:val="000000"/>
        </w:rPr>
        <w:lastRenderedPageBreak/>
        <w:t>Натријум-молибдат (молибден (VI)</w:t>
      </w:r>
    </w:p>
    <w:p w:rsidR="008875F4" w:rsidRDefault="00D02735">
      <w:pPr>
        <w:spacing w:after="150"/>
      </w:pPr>
      <w:r>
        <w:rPr>
          <w:color w:val="000000"/>
        </w:rPr>
        <w:t>Калцијум-флуорид</w:t>
      </w:r>
    </w:p>
    <w:p w:rsidR="008875F4" w:rsidRDefault="00D02735">
      <w:pPr>
        <w:spacing w:after="150"/>
      </w:pPr>
      <w:r>
        <w:rPr>
          <w:color w:val="000000"/>
        </w:rPr>
        <w:t>Калијум-флуорид</w:t>
      </w:r>
    </w:p>
    <w:p w:rsidR="008875F4" w:rsidRDefault="00D02735">
      <w:pPr>
        <w:spacing w:after="150"/>
      </w:pPr>
      <w:r>
        <w:rPr>
          <w:color w:val="000000"/>
        </w:rPr>
        <w:t>Натријум-флуорид</w:t>
      </w:r>
    </w:p>
    <w:p w:rsidR="008875F4" w:rsidRDefault="00D02735">
      <w:pPr>
        <w:spacing w:after="150"/>
      </w:pPr>
      <w:r>
        <w:rPr>
          <w:color w:val="000000"/>
        </w:rPr>
        <w:t>Натријум-монофлуорофосфат</w:t>
      </w:r>
    </w:p>
    <w:p w:rsidR="008875F4" w:rsidRDefault="00D02735">
      <w:pPr>
        <w:spacing w:after="150"/>
      </w:pPr>
      <w:r>
        <w:rPr>
          <w:color w:val="000000"/>
        </w:rPr>
        <w:t>Борна киселина</w:t>
      </w:r>
    </w:p>
    <w:p w:rsidR="008875F4" w:rsidRDefault="00D02735">
      <w:pPr>
        <w:spacing w:after="150"/>
      </w:pPr>
      <w:r>
        <w:rPr>
          <w:color w:val="000000"/>
        </w:rPr>
        <w:t>Натријум-борат</w:t>
      </w:r>
    </w:p>
    <w:p w:rsidR="008875F4" w:rsidRDefault="00D02735">
      <w:pPr>
        <w:spacing w:after="150"/>
      </w:pPr>
      <w:r>
        <w:rPr>
          <w:color w:val="000000"/>
        </w:rPr>
        <w:t xml:space="preserve">Холином </w:t>
      </w:r>
      <w:r>
        <w:rPr>
          <w:color w:val="000000"/>
        </w:rPr>
        <w:t>стабилизована ортосилицијумова киселина</w:t>
      </w:r>
    </w:p>
    <w:p w:rsidR="008875F4" w:rsidRDefault="00D02735">
      <w:pPr>
        <w:spacing w:after="150"/>
      </w:pPr>
      <w:r>
        <w:rPr>
          <w:color w:val="000000"/>
        </w:rPr>
        <w:t>Силицијум-диоксид</w:t>
      </w:r>
    </w:p>
    <w:p w:rsidR="008875F4" w:rsidRDefault="00D02735">
      <w:pPr>
        <w:spacing w:after="150"/>
      </w:pPr>
      <w:r>
        <w:rPr>
          <w:color w:val="000000"/>
        </w:rPr>
        <w:t xml:space="preserve">Силицијумова киселина ( </w:t>
      </w:r>
      <w:r>
        <w:rPr>
          <w:color w:val="000000"/>
          <w:vertAlign w:val="superscript"/>
        </w:rPr>
        <w:t>8</w:t>
      </w:r>
      <w:r>
        <w:rPr>
          <w:color w:val="000000"/>
        </w:rPr>
        <w:t xml:space="preserve"> )</w:t>
      </w:r>
    </w:p>
    <w:p w:rsidR="008875F4" w:rsidRDefault="00D02735">
      <w:pPr>
        <w:spacing w:after="150"/>
      </w:pPr>
      <w:r>
        <w:rPr>
          <w:color w:val="000000"/>
        </w:rPr>
        <w:t>Органски силицијум (монометилсиланетриол)</w:t>
      </w:r>
    </w:p>
    <w:p w:rsidR="008875F4" w:rsidRDefault="00D02735">
      <w:pPr>
        <w:spacing w:after="150"/>
      </w:pPr>
      <w:r>
        <w:rPr>
          <w:color w:val="000000"/>
        </w:rPr>
        <w:t xml:space="preserve">( </w:t>
      </w:r>
      <w:r>
        <w:rPr>
          <w:color w:val="000000"/>
          <w:vertAlign w:val="superscript"/>
        </w:rPr>
        <w:t>1</w:t>
      </w:r>
      <w:r>
        <w:rPr>
          <w:color w:val="000000"/>
        </w:rPr>
        <w:t xml:space="preserve"> ) Термин фолна киселина обухвата све облике фолата.</w:t>
      </w:r>
    </w:p>
    <w:p w:rsidR="008875F4" w:rsidRDefault="00D02735">
      <w:pPr>
        <w:spacing w:after="150"/>
      </w:pPr>
      <w:r>
        <w:rPr>
          <w:color w:val="000000"/>
        </w:rPr>
        <w:t xml:space="preserve">( </w:t>
      </w:r>
      <w:r>
        <w:rPr>
          <w:color w:val="000000"/>
          <w:vertAlign w:val="superscript"/>
        </w:rPr>
        <w:t>2</w:t>
      </w:r>
      <w:r>
        <w:rPr>
          <w:color w:val="000000"/>
        </w:rPr>
        <w:t xml:space="preserve"> ) Алфа-токоферол &lt; 20%, бета-токоферол &lt; 10%, гама-токоферол 50–70% </w:t>
      </w:r>
      <w:r>
        <w:rPr>
          <w:color w:val="000000"/>
        </w:rPr>
        <w:t>и делта-токоферол 10–30%.</w:t>
      </w:r>
    </w:p>
    <w:p w:rsidR="008875F4" w:rsidRDefault="00D02735">
      <w:pPr>
        <w:spacing w:after="150"/>
      </w:pPr>
      <w:r>
        <w:rPr>
          <w:color w:val="000000"/>
        </w:rPr>
        <w:t xml:space="preserve">( </w:t>
      </w:r>
      <w:r>
        <w:rPr>
          <w:color w:val="000000"/>
          <w:vertAlign w:val="superscript"/>
        </w:rPr>
        <w:t>3</w:t>
      </w:r>
      <w:r>
        <w:rPr>
          <w:color w:val="000000"/>
        </w:rPr>
        <w:t xml:space="preserve"> ) Типичан садржај индивидуалних tokoferola i tokotrienola:</w:t>
      </w:r>
    </w:p>
    <w:p w:rsidR="008875F4" w:rsidRDefault="00D02735">
      <w:pPr>
        <w:spacing w:after="150"/>
      </w:pPr>
      <w:r>
        <w:rPr>
          <w:color w:val="000000"/>
        </w:rPr>
        <w:t>115 mg/g алфа-токоферола (101 mg/g минимум)</w:t>
      </w:r>
    </w:p>
    <w:p w:rsidR="008875F4" w:rsidRDefault="00D02735">
      <w:pPr>
        <w:spacing w:after="150"/>
      </w:pPr>
      <w:r>
        <w:rPr>
          <w:color w:val="000000"/>
        </w:rPr>
        <w:t>5 mg/g бета-токоферола (&lt; 1 mg/g минимум)</w:t>
      </w:r>
    </w:p>
    <w:p w:rsidR="008875F4" w:rsidRDefault="00D02735">
      <w:pPr>
        <w:spacing w:after="150"/>
      </w:pPr>
      <w:r>
        <w:rPr>
          <w:color w:val="000000"/>
        </w:rPr>
        <w:t>45 mg/g гама-токоферола (25 mg/g минимум)</w:t>
      </w:r>
    </w:p>
    <w:p w:rsidR="008875F4" w:rsidRDefault="00D02735">
      <w:pPr>
        <w:spacing w:after="150"/>
      </w:pPr>
      <w:r>
        <w:rPr>
          <w:color w:val="000000"/>
        </w:rPr>
        <w:t xml:space="preserve">12 mg/g делта-токоферола (3 mg/g </w:t>
      </w:r>
      <w:r>
        <w:rPr>
          <w:color w:val="000000"/>
        </w:rPr>
        <w:t>минимум)</w:t>
      </w:r>
    </w:p>
    <w:p w:rsidR="008875F4" w:rsidRDefault="00D02735">
      <w:pPr>
        <w:spacing w:after="150"/>
      </w:pPr>
      <w:r>
        <w:rPr>
          <w:color w:val="000000"/>
        </w:rPr>
        <w:t>67 mg/g алфа-токотриенола (30 mg/g минимум)</w:t>
      </w:r>
    </w:p>
    <w:p w:rsidR="008875F4" w:rsidRDefault="00D02735">
      <w:pPr>
        <w:spacing w:after="150"/>
      </w:pPr>
      <w:r>
        <w:rPr>
          <w:color w:val="000000"/>
        </w:rPr>
        <w:t>&lt; 1 mg/g бета-токотриенола (&lt; 1 mg/g минимум)</w:t>
      </w:r>
    </w:p>
    <w:p w:rsidR="008875F4" w:rsidRDefault="00D02735">
      <w:pPr>
        <w:spacing w:after="150"/>
      </w:pPr>
      <w:r>
        <w:rPr>
          <w:color w:val="000000"/>
        </w:rPr>
        <w:t>82 mg/g гама-токотриенола (45 mg/g минимум)</w:t>
      </w:r>
    </w:p>
    <w:p w:rsidR="008875F4" w:rsidRDefault="00D02735">
      <w:pPr>
        <w:spacing w:after="150"/>
      </w:pPr>
      <w:r>
        <w:rPr>
          <w:color w:val="000000"/>
        </w:rPr>
        <w:t>5 mg/g делта-токотриенола (&lt; 1 mg/g минимум).</w:t>
      </w:r>
    </w:p>
    <w:p w:rsidR="008875F4" w:rsidRDefault="00D02735">
      <w:pPr>
        <w:spacing w:after="150"/>
      </w:pPr>
      <w:r>
        <w:rPr>
          <w:color w:val="000000"/>
        </w:rPr>
        <w:t xml:space="preserve">( </w:t>
      </w:r>
      <w:r>
        <w:rPr>
          <w:color w:val="000000"/>
          <w:vertAlign w:val="superscript"/>
        </w:rPr>
        <w:t>4</w:t>
      </w:r>
      <w:r>
        <w:rPr>
          <w:color w:val="000000"/>
        </w:rPr>
        <w:t xml:space="preserve"> ) Менахинон је доминантно менахинон-7 са минорним садржајем мен</w:t>
      </w:r>
      <w:r>
        <w:rPr>
          <w:color w:val="000000"/>
        </w:rPr>
        <w:t>ахинона-6.</w:t>
      </w:r>
    </w:p>
    <w:p w:rsidR="008875F4" w:rsidRDefault="00D02735">
      <w:pPr>
        <w:spacing w:after="150"/>
      </w:pPr>
      <w:r>
        <w:rPr>
          <w:color w:val="000000"/>
        </w:rPr>
        <w:t xml:space="preserve">( </w:t>
      </w:r>
      <w:r>
        <w:rPr>
          <w:color w:val="000000"/>
          <w:vertAlign w:val="superscript"/>
        </w:rPr>
        <w:t>5</w:t>
      </w:r>
      <w:r>
        <w:rPr>
          <w:color w:val="000000"/>
        </w:rPr>
        <w:t xml:space="preserve"> ) Може да садржи до 2% треоната.</w:t>
      </w:r>
    </w:p>
    <w:p w:rsidR="008875F4" w:rsidRDefault="00D02735">
      <w:pPr>
        <w:spacing w:after="150"/>
      </w:pPr>
      <w:r>
        <w:rPr>
          <w:color w:val="000000"/>
        </w:rPr>
        <w:t xml:space="preserve">( </w:t>
      </w:r>
      <w:r>
        <w:rPr>
          <w:color w:val="000000"/>
          <w:vertAlign w:val="superscript"/>
        </w:rPr>
        <w:t>6</w:t>
      </w:r>
      <w:r>
        <w:rPr>
          <w:color w:val="000000"/>
        </w:rPr>
        <w:t xml:space="preserve"> ) Селеном обогаћени квасац добија се гајењем у присуству натријум-селенита као извора селена и садржи, у сувом облику како се налази на тржишту, не више од 2,5 mg Se/g. Селенометионин је најзаступљенији о</w:t>
      </w:r>
      <w:r>
        <w:rPr>
          <w:color w:val="000000"/>
        </w:rPr>
        <w:t xml:space="preserve">блик органског селена, који је присутан у квасцу (између 60 и 85% укупно екстрабилног селена у производу). Садржај осталих органских једињења селена, укључујући селеноцистеин, не премашује 10% укупно екстрабилног </w:t>
      </w:r>
      <w:r>
        <w:rPr>
          <w:color w:val="000000"/>
        </w:rPr>
        <w:lastRenderedPageBreak/>
        <w:t xml:space="preserve">селена. Ниво неорганског селена уобичајено </w:t>
      </w:r>
      <w:r>
        <w:rPr>
          <w:color w:val="000000"/>
        </w:rPr>
        <w:t>не премашује 1% укупно екстрабилног селена.</w:t>
      </w:r>
    </w:p>
    <w:p w:rsidR="008875F4" w:rsidRDefault="00D02735">
      <w:pPr>
        <w:spacing w:after="150"/>
      </w:pPr>
      <w:r>
        <w:rPr>
          <w:color w:val="000000"/>
        </w:rPr>
        <w:t xml:space="preserve">( </w:t>
      </w:r>
      <w:r>
        <w:rPr>
          <w:color w:val="000000"/>
          <w:vertAlign w:val="superscript"/>
        </w:rPr>
        <w:t>7</w:t>
      </w:r>
      <w:r>
        <w:rPr>
          <w:color w:val="000000"/>
        </w:rPr>
        <w:t xml:space="preserve"> ) Хромом обогаћен квасац који се производи из културе Saccharomyces cerevisiae у присуству хром(III)-хлорида као извора хрома и који, у осушеном облику у ком се ставља на тржиште, садрже 230–300 mg хрома/kg. </w:t>
      </w:r>
      <w:r>
        <w:rPr>
          <w:color w:val="000000"/>
        </w:rPr>
        <w:t>Садржај хрома(VI) не прелази 0,2% укупног хрома.</w:t>
      </w:r>
    </w:p>
    <w:p w:rsidR="008875F4" w:rsidRDefault="00D02735">
      <w:pPr>
        <w:spacing w:after="150"/>
      </w:pPr>
      <w:r>
        <w:rPr>
          <w:color w:val="000000"/>
        </w:rPr>
        <w:t xml:space="preserve">( </w:t>
      </w:r>
      <w:r>
        <w:rPr>
          <w:color w:val="000000"/>
          <w:vertAlign w:val="superscript"/>
        </w:rPr>
        <w:t>8</w:t>
      </w:r>
      <w:r>
        <w:rPr>
          <w:color w:val="000000"/>
        </w:rPr>
        <w:t xml:space="preserve"> ) У облику гела.</w:t>
      </w:r>
    </w:p>
    <w:p w:rsidR="008875F4" w:rsidRDefault="00D02735">
      <w:pPr>
        <w:spacing w:after="150"/>
        <w:jc w:val="right"/>
      </w:pPr>
      <w:r>
        <w:rPr>
          <w:b/>
          <w:color w:val="000000"/>
        </w:rPr>
        <w:t>Прилог III.</w:t>
      </w:r>
    </w:p>
    <w:p w:rsidR="008875F4" w:rsidRDefault="00D02735">
      <w:pPr>
        <w:spacing w:after="120"/>
        <w:jc w:val="center"/>
      </w:pPr>
      <w:r>
        <w:rPr>
          <w:b/>
          <w:color w:val="000000"/>
        </w:rPr>
        <w:t>МАКСИМАЛНО ДОЗВОЉЕНЕ КОЛИЧИНЕ ВИТАМИНА И МИНЕРАЛА У ДНЕВНОЈ ДОЗИ ДОДАТАКА ИСХРАНИ ЗА ОДРАСЛЕ ОСОБЕ</w:t>
      </w:r>
    </w:p>
    <w:p w:rsidR="008875F4" w:rsidRDefault="008875F4">
      <w:pPr>
        <w:spacing w:after="15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40"/>
        <w:gridCol w:w="6188"/>
      </w:tblGrid>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b/>
                <w:color w:val="000000"/>
              </w:rPr>
              <w:t>Максимална количина у дневној дози суплемента</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Витамин А</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1000 µg RE*</w:t>
            </w:r>
          </w:p>
          <w:p w:rsidR="008875F4" w:rsidRDefault="00D02735">
            <w:pPr>
              <w:spacing w:after="150"/>
            </w:pPr>
            <w:r>
              <w:rPr>
                <w:color w:val="000000"/>
              </w:rPr>
              <w:t>Напомена: Суплементи са витамином А у облику ретинолне киселине се током трудноће могу узимати искључиво након консултација са лекаром.</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β-karoten</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7 mg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Витамин Д</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50 µg</w:t>
            </w:r>
            <w:r>
              <w:br/>
            </w:r>
            <w:r>
              <w:rPr>
                <w:color w:val="000000"/>
              </w:rPr>
              <w:t>Напомена: да се не узимају са другим суплементима са витамином Д</w:t>
            </w:r>
            <w:r>
              <w:br/>
            </w:r>
            <w:r>
              <w:rPr>
                <w:color w:val="000000"/>
              </w:rPr>
              <w:t>За дозе већ од 25 μg п</w:t>
            </w:r>
            <w:r>
              <w:rPr>
                <w:color w:val="000000"/>
              </w:rPr>
              <w:t>осле месец дана узимања треба преконтролисати ниво витамин Д у крви</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Витамин Е</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100 mg TE**</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Витамин К</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100 µg</w:t>
            </w:r>
            <w:r>
              <w:br/>
            </w:r>
            <w:r>
              <w:rPr>
                <w:color w:val="000000"/>
              </w:rPr>
              <w:t>Упозорење: Особе које користе кумаринске антикоагулансе треба да консултују лекара пре употребе суплемената са витамином К.</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Витамин Б1</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 mg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Витамин Б2</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 mg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Ниацин</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 mg (никотинска киселина)</w:t>
            </w:r>
            <w:r>
              <w:br/>
            </w:r>
            <w:r>
              <w:rPr>
                <w:color w:val="000000"/>
              </w:rPr>
              <w:t>100 mg (никотинамид)</w:t>
            </w:r>
            <w:r>
              <w:br/>
            </w:r>
            <w:r>
              <w:rPr>
                <w:color w:val="000000"/>
              </w:rPr>
              <w:t>4,4 (инозитол хексаникотинат)</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Пантотенска киселина</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30 mg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lastRenderedPageBreak/>
              <w:t>Витамин Б6</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 mg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Фолна киселина</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400 µg за општу популацију</w:t>
            </w:r>
            <w:r>
              <w:br/>
            </w:r>
            <w:r>
              <w:rPr>
                <w:color w:val="000000"/>
              </w:rPr>
              <w:t>600 µg за труднице и у периоду планирања трудноће</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Витамин Б12</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1000 µg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Биотин</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500 µg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Витамин Ц</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1000 mg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Калцијум</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1200 mg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Магнезијум</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400 mg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Гвожђе</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20 mg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Бакар</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 mg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Јод</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150 µg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Цинк</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20 mg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Манган</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4 mg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Натријум</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500–1150 mg/L (само у производима за надокнаду електролита)</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Калијум</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500 mg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Селен</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100 µg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Хром</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200 µg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Молибден</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200 µg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Флуорид</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 mg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Хлорид</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Није одређено</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Фосфор</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700 mg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Бор</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0,5 mg</w:t>
            </w:r>
          </w:p>
        </w:tc>
      </w:tr>
      <w:tr w:rsidR="008875F4">
        <w:trPr>
          <w:trHeight w:val="45"/>
          <w:tblCellSpacing w:w="0" w:type="auto"/>
        </w:trPr>
        <w:tc>
          <w:tcPr>
            <w:tcW w:w="422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Силицијум</w:t>
            </w:r>
          </w:p>
        </w:tc>
        <w:tc>
          <w:tcPr>
            <w:tcW w:w="1018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10,4 mg</w:t>
            </w:r>
          </w:p>
        </w:tc>
      </w:tr>
    </w:tbl>
    <w:p w:rsidR="008875F4" w:rsidRDefault="00D02735">
      <w:pPr>
        <w:spacing w:after="150"/>
      </w:pPr>
      <w:r>
        <w:rPr>
          <w:color w:val="000000"/>
        </w:rPr>
        <w:t>* RE = all trans retinol ekvivalent;</w:t>
      </w:r>
    </w:p>
    <w:p w:rsidR="008875F4" w:rsidRDefault="00D02735">
      <w:pPr>
        <w:spacing w:after="150"/>
      </w:pPr>
      <w:r>
        <w:rPr>
          <w:color w:val="000000"/>
        </w:rPr>
        <w:t>** TE = α-tokoferol ekvivalenti</w:t>
      </w:r>
    </w:p>
    <w:p w:rsidR="008875F4" w:rsidRDefault="00D02735">
      <w:pPr>
        <w:spacing w:after="150"/>
        <w:jc w:val="right"/>
      </w:pPr>
      <w:r>
        <w:rPr>
          <w:b/>
          <w:color w:val="000000"/>
        </w:rPr>
        <w:t>Прилог IV.</w:t>
      </w:r>
    </w:p>
    <w:p w:rsidR="008875F4" w:rsidRDefault="00D02735">
      <w:pPr>
        <w:spacing w:after="120"/>
        <w:jc w:val="center"/>
      </w:pPr>
      <w:r>
        <w:rPr>
          <w:b/>
          <w:color w:val="000000"/>
        </w:rPr>
        <w:t xml:space="preserve">МАКСИМАЛНО ДОЗВОЉЕНЕ КОНЦЕНТРАЦИЈЕ ОДРЕЂЕНИХ ХЕМИЈСКИХ КОНТАМИНЕНАТА У </w:t>
      </w:r>
      <w:r>
        <w:rPr>
          <w:b/>
          <w:color w:val="000000"/>
        </w:rPr>
        <w:t>ДОДАЦИМА ИСХРАНИ</w:t>
      </w:r>
    </w:p>
    <w:p w:rsidR="008875F4" w:rsidRDefault="00D02735">
      <w:pPr>
        <w:spacing w:after="150"/>
      </w:pPr>
      <w:r>
        <w:rPr>
          <w:color w:val="000000"/>
        </w:rPr>
        <w:lastRenderedPageBreak/>
        <w:t>Максималне количине контаминената односе се на додатке исхрани у облику у коме се продају.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75"/>
        <w:gridCol w:w="6053"/>
      </w:tblGrid>
      <w:tr w:rsidR="008875F4">
        <w:trPr>
          <w:trHeight w:val="45"/>
          <w:tblCellSpacing w:w="0" w:type="auto"/>
        </w:trPr>
        <w:tc>
          <w:tcPr>
            <w:tcW w:w="3504"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Хемијско име контаминента</w:t>
            </w:r>
          </w:p>
        </w:tc>
        <w:tc>
          <w:tcPr>
            <w:tcW w:w="108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Максимално дозвољена концентрација</w:t>
            </w:r>
          </w:p>
        </w:tc>
      </w:tr>
      <w:tr w:rsidR="008875F4">
        <w:trPr>
          <w:trHeight w:val="45"/>
          <w:tblCellSpacing w:w="0" w:type="auto"/>
        </w:trPr>
        <w:tc>
          <w:tcPr>
            <w:tcW w:w="3504"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Олово</w:t>
            </w:r>
          </w:p>
        </w:tc>
        <w:tc>
          <w:tcPr>
            <w:tcW w:w="108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3,0 mg/kg</w:t>
            </w:r>
          </w:p>
        </w:tc>
      </w:tr>
      <w:tr w:rsidR="008875F4">
        <w:trPr>
          <w:trHeight w:val="45"/>
          <w:tblCellSpacing w:w="0" w:type="auto"/>
        </w:trPr>
        <w:tc>
          <w:tcPr>
            <w:tcW w:w="3504"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Кадмијум</w:t>
            </w:r>
          </w:p>
        </w:tc>
        <w:tc>
          <w:tcPr>
            <w:tcW w:w="108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 xml:space="preserve">3,0 mg/kg за додатке исхрани који се искључиво или претежно </w:t>
            </w:r>
            <w:r>
              <w:rPr>
                <w:color w:val="000000"/>
              </w:rPr>
              <w:t>састоје од осушених алги или производа добијених из алги или од сушених шкољкаша</w:t>
            </w:r>
          </w:p>
          <w:p w:rsidR="008875F4" w:rsidRDefault="00D02735">
            <w:pPr>
              <w:spacing w:after="150"/>
            </w:pPr>
            <w:r>
              <w:rPr>
                <w:color w:val="000000"/>
              </w:rPr>
              <w:t>1,0 mg/kg за остале додатке исхрани</w:t>
            </w:r>
          </w:p>
        </w:tc>
      </w:tr>
      <w:tr w:rsidR="008875F4">
        <w:trPr>
          <w:trHeight w:val="45"/>
          <w:tblCellSpacing w:w="0" w:type="auto"/>
        </w:trPr>
        <w:tc>
          <w:tcPr>
            <w:tcW w:w="3504"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Жива</w:t>
            </w:r>
          </w:p>
        </w:tc>
        <w:tc>
          <w:tcPr>
            <w:tcW w:w="108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0,1 mg/kg</w:t>
            </w:r>
          </w:p>
        </w:tc>
      </w:tr>
      <w:tr w:rsidR="008875F4">
        <w:trPr>
          <w:trHeight w:val="45"/>
          <w:tblCellSpacing w:w="0" w:type="auto"/>
        </w:trPr>
        <w:tc>
          <w:tcPr>
            <w:tcW w:w="3504"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Цитринин</w:t>
            </w:r>
          </w:p>
        </w:tc>
        <w:tc>
          <w:tcPr>
            <w:tcW w:w="108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100 µg/kg* за додатке исхрани на бази пиринча ферментисаног црвеним квасцем Monascus purpureus</w:t>
            </w:r>
          </w:p>
        </w:tc>
      </w:tr>
      <w:tr w:rsidR="008875F4">
        <w:trPr>
          <w:trHeight w:val="45"/>
          <w:tblCellSpacing w:w="0" w:type="auto"/>
        </w:trPr>
        <w:tc>
          <w:tcPr>
            <w:tcW w:w="3504"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Полициклични аром</w:t>
            </w:r>
            <w:r>
              <w:rPr>
                <w:color w:val="000000"/>
              </w:rPr>
              <w:t>атични угљоводоници:</w:t>
            </w:r>
          </w:p>
          <w:p w:rsidR="008875F4" w:rsidRDefault="00D02735">
            <w:pPr>
              <w:spacing w:after="150"/>
            </w:pPr>
            <w:r>
              <w:rPr>
                <w:color w:val="000000"/>
              </w:rPr>
              <w:t>Бензо(а)пирен</w:t>
            </w:r>
          </w:p>
          <w:p w:rsidR="008875F4" w:rsidRDefault="00D02735">
            <w:pPr>
              <w:spacing w:after="150"/>
            </w:pPr>
            <w:r>
              <w:rPr>
                <w:color w:val="000000"/>
              </w:rPr>
              <w:t xml:space="preserve">Збир бензо(а)пирена, бенз(а)антрацена, бензо(б)флуорантена и кризена </w:t>
            </w:r>
            <w:r>
              <w:rPr>
                <w:color w:val="000000"/>
                <w:vertAlign w:val="superscript"/>
              </w:rPr>
              <w:t>(2)</w:t>
            </w:r>
          </w:p>
        </w:tc>
        <w:tc>
          <w:tcPr>
            <w:tcW w:w="108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За додатке исхрани који садрже биљне састојке, биљне сировине и препарате биљних сировина (</w:t>
            </w:r>
            <w:r>
              <w:rPr>
                <w:color w:val="000000"/>
                <w:vertAlign w:val="superscript"/>
              </w:rPr>
              <w:t>1</w:t>
            </w:r>
            <w:r>
              <w:rPr>
                <w:color w:val="000000"/>
              </w:rPr>
              <w:t>) (*) (**) и додатке исхрани који садрже прополис, матич</w:t>
            </w:r>
            <w:r>
              <w:rPr>
                <w:color w:val="000000"/>
              </w:rPr>
              <w:t>ни млеч, спирулину или њихове препарате</w:t>
            </w:r>
            <w:r>
              <w:rPr>
                <w:color w:val="000000"/>
                <w:vertAlign w:val="superscript"/>
              </w:rPr>
              <w:t>(1)</w:t>
            </w:r>
          </w:p>
          <w:p w:rsidR="008875F4" w:rsidRDefault="00D02735">
            <w:pPr>
              <w:spacing w:after="150"/>
            </w:pPr>
            <w:r>
              <w:rPr>
                <w:color w:val="000000"/>
              </w:rPr>
              <w:t>10,0 µg/kg</w:t>
            </w:r>
          </w:p>
          <w:p w:rsidR="008875F4" w:rsidRDefault="00D02735">
            <w:pPr>
              <w:spacing w:after="150"/>
            </w:pPr>
            <w:r>
              <w:rPr>
                <w:color w:val="000000"/>
              </w:rPr>
              <w:t>50 µg/kg</w:t>
            </w:r>
          </w:p>
        </w:tc>
      </w:tr>
    </w:tbl>
    <w:p w:rsidR="008875F4" w:rsidRDefault="00D02735">
      <w:pPr>
        <w:spacing w:after="150"/>
      </w:pPr>
      <w:r>
        <w:rPr>
          <w:color w:val="000000"/>
          <w:vertAlign w:val="superscript"/>
        </w:rPr>
        <w:t>(1 )</w:t>
      </w:r>
      <w:r>
        <w:rPr>
          <w:color w:val="000000"/>
        </w:rPr>
        <w:t>Максимално дозвољена концентрација примењује се на додатке исхрани у облику у коме се стављају у промет.</w:t>
      </w:r>
    </w:p>
    <w:p w:rsidR="008875F4" w:rsidRDefault="00D02735">
      <w:pPr>
        <w:spacing w:after="150"/>
      </w:pPr>
      <w:r>
        <w:rPr>
          <w:color w:val="000000"/>
          <w:vertAlign w:val="superscript"/>
        </w:rPr>
        <w:t>(2)</w:t>
      </w:r>
      <w:r>
        <w:rPr>
          <w:color w:val="000000"/>
        </w:rPr>
        <w:t xml:space="preserve">Најниже границе концентрације се израчунавају под претпоставком да су за сва </w:t>
      </w:r>
      <w:r>
        <w:rPr>
          <w:color w:val="000000"/>
        </w:rPr>
        <w:t>четири једињења добијене вредности испод границе одређивања једнаке нули.</w:t>
      </w:r>
    </w:p>
    <w:p w:rsidR="008875F4" w:rsidRDefault="00D02735">
      <w:pPr>
        <w:spacing w:after="150"/>
      </w:pPr>
      <w:r>
        <w:rPr>
          <w:color w:val="000000"/>
        </w:rPr>
        <w:t>(*) Биљне сировине (нпр. целе биљке, делови биљака, изломљене или уситњене биљке) и препарати биљних сировина су производи добијени од биљака разним поступцима прераде (нпр. пресовањ</w:t>
      </w:r>
      <w:r>
        <w:rPr>
          <w:color w:val="000000"/>
        </w:rPr>
        <w:t>е, цеђење, екстракција, фракционисање, дестилација, концентровање, сушење и ферментација). Овом дефиницијом обухваћене су уситњене биљке или биљке у праху, делови биљака, алге, гљиве, лишајеви, тинктуре, екстракти, етарска уља (осим „Уља и масти (осим кака</w:t>
      </w:r>
      <w:r>
        <w:rPr>
          <w:color w:val="000000"/>
        </w:rPr>
        <w:t>о маслаца и уља од кокосова ораха) намењени за непосредну исхрану људи или за употребу као састојак хране”), исцеђени сокови и прерађени ексудати.</w:t>
      </w:r>
    </w:p>
    <w:p w:rsidR="008875F4" w:rsidRDefault="00D02735">
      <w:pPr>
        <w:spacing w:after="150"/>
      </w:pPr>
      <w:r>
        <w:rPr>
          <w:color w:val="000000"/>
        </w:rPr>
        <w:t>(**) Највећа допуштена количина не примењује се на додатке исхрани који садрже биљна уља. Биљна уља која се у</w:t>
      </w:r>
      <w:r>
        <w:rPr>
          <w:color w:val="000000"/>
        </w:rPr>
        <w:t xml:space="preserve">потребљавају као састојак у </w:t>
      </w:r>
      <w:r>
        <w:rPr>
          <w:color w:val="000000"/>
        </w:rPr>
        <w:lastRenderedPageBreak/>
        <w:t>додацима исхрани требала би бити у складу с највећом допуштеном количином прописаном у правилнику којим се регулишу максималне концентрације одређених контаминената у храни за „Уља и масти (осим какао маслаца и уља од кокосова о</w:t>
      </w:r>
      <w:r>
        <w:rPr>
          <w:color w:val="000000"/>
        </w:rPr>
        <w:t>раха) намењени за непосредну исхрану људи или за употребу као састојак хране”.</w:t>
      </w:r>
    </w:p>
    <w:p w:rsidR="008875F4" w:rsidRDefault="00D02735">
      <w:pPr>
        <w:spacing w:after="150"/>
        <w:jc w:val="right"/>
      </w:pPr>
      <w:r>
        <w:rPr>
          <w:b/>
          <w:color w:val="000000"/>
        </w:rPr>
        <w:t>Прилог V.</w:t>
      </w:r>
    </w:p>
    <w:p w:rsidR="008875F4" w:rsidRDefault="00D02735">
      <w:pPr>
        <w:spacing w:after="120"/>
        <w:jc w:val="center"/>
      </w:pPr>
      <w:r>
        <w:rPr>
          <w:b/>
          <w:color w:val="000000"/>
        </w:rPr>
        <w:t>МИКРОБИОЛОШКИ КРИТЕРИЈУМИ</w:t>
      </w:r>
    </w:p>
    <w:p w:rsidR="008875F4" w:rsidRDefault="00D02735">
      <w:pPr>
        <w:spacing w:after="150"/>
      </w:pPr>
      <w:r>
        <w:rPr>
          <w:color w:val="000000"/>
        </w:rPr>
        <w:t xml:space="preserve">Овим прилогом се утврђују микробиолошки критеријуми за одређене микроорганизме, као и правила која субјекти у пословању са храном (додаци </w:t>
      </w:r>
      <w:r>
        <w:rPr>
          <w:color w:val="000000"/>
        </w:rPr>
        <w:t>исхрани) морају поштовати приликом спровођења општих и посебних хигијенских мера.</w:t>
      </w:r>
    </w:p>
    <w:p w:rsidR="008875F4" w:rsidRDefault="00D02735">
      <w:pPr>
        <w:spacing w:after="150"/>
      </w:pPr>
      <w:r>
        <w:rPr>
          <w:color w:val="000000"/>
        </w:rPr>
        <w:t>Министарство надлежно за послове здравља преко санитарне инспекције (у даљем тексту: санитарна инспекција), у складу са Законом о безбедности хране, врши контролу усклађеност</w:t>
      </w:r>
      <w:r>
        <w:rPr>
          <w:color w:val="000000"/>
        </w:rPr>
        <w:t>и са микробиолошким критеријумима овог прилога.</w:t>
      </w:r>
    </w:p>
    <w:p w:rsidR="008875F4" w:rsidRDefault="00D02735">
      <w:pPr>
        <w:spacing w:after="150"/>
      </w:pPr>
      <w:r>
        <w:rPr>
          <w:color w:val="000000"/>
        </w:rPr>
        <w:t>Санитарна инспекција, може да врши и додатно узорковање и испитивање у сврху доказивања присутности других микроорганизама, њихових токсина или метаболита када постоји сумња да храна није безбедна или када по</w:t>
      </w:r>
      <w:r>
        <w:rPr>
          <w:color w:val="000000"/>
        </w:rPr>
        <w:t>стоји потреба за проверу хигијене процеса у контексту анализе ризика.</w:t>
      </w:r>
    </w:p>
    <w:p w:rsidR="008875F4" w:rsidRDefault="00D02735">
      <w:pPr>
        <w:spacing w:after="120"/>
        <w:jc w:val="center"/>
      </w:pPr>
      <w:r>
        <w:rPr>
          <w:b/>
          <w:color w:val="000000"/>
        </w:rPr>
        <w:t>Дефиниције</w:t>
      </w:r>
    </w:p>
    <w:p w:rsidR="008875F4" w:rsidRDefault="00D02735">
      <w:pPr>
        <w:spacing w:after="150"/>
      </w:pPr>
      <w:r>
        <w:rPr>
          <w:color w:val="000000"/>
        </w:rPr>
        <w:t>Поједини изрази употребљени у овом прилогу имају следеће значење:</w:t>
      </w:r>
    </w:p>
    <w:p w:rsidR="008875F4" w:rsidRDefault="00D02735">
      <w:pPr>
        <w:spacing w:after="150"/>
      </w:pPr>
      <w:r>
        <w:rPr>
          <w:color w:val="000000"/>
        </w:rPr>
        <w:t>– микробиолошки агенси, у смислу овог правилника, јесу микроорганизми, као и њихови токсини и метаболити наве</w:t>
      </w:r>
      <w:r>
        <w:rPr>
          <w:color w:val="000000"/>
        </w:rPr>
        <w:t>дени у табели 1 и табели 2 овог прилога;</w:t>
      </w:r>
    </w:p>
    <w:p w:rsidR="008875F4" w:rsidRDefault="00D02735">
      <w:pPr>
        <w:spacing w:after="150"/>
      </w:pPr>
      <w:r>
        <w:rPr>
          <w:color w:val="000000"/>
        </w:rPr>
        <w:t xml:space="preserve">– микробиолошки критеријум јесте критеријум на основу којег се дефинише прихватљивост готовог производа или производне партије додатка исхрани или процеса, заснована на одсуству, присуству или броју микроорганизама </w:t>
      </w:r>
      <w:r>
        <w:rPr>
          <w:color w:val="000000"/>
        </w:rPr>
        <w:t>и/или на основу количине њихових токсина или метаболита, по јединици наведеној у табели 1 и табели 2 овог прилога;</w:t>
      </w:r>
    </w:p>
    <w:p w:rsidR="008875F4" w:rsidRDefault="00D02735">
      <w:pPr>
        <w:spacing w:after="150"/>
      </w:pPr>
      <w:r>
        <w:rPr>
          <w:color w:val="000000"/>
        </w:rPr>
        <w:t xml:space="preserve">– критеријум безбедности додатка исхрани јесте критеријум којим се дефинише прихватљивост готовог производа или производне партије и </w:t>
      </w:r>
      <w:r>
        <w:rPr>
          <w:color w:val="000000"/>
        </w:rPr>
        <w:t>примењује се на додатак исхрани који је спреман да буде стављен у промет или се већ налази у промету;</w:t>
      </w:r>
    </w:p>
    <w:p w:rsidR="008875F4" w:rsidRDefault="00D02735">
      <w:pPr>
        <w:spacing w:after="150"/>
      </w:pPr>
      <w:r>
        <w:rPr>
          <w:color w:val="000000"/>
        </w:rPr>
        <w:t>– критеријум хигијене процеса јесте критеријум који указује на правилно функционисање производног процеса – у случају прекорачења контаминације изнад дозв</w:t>
      </w:r>
      <w:r>
        <w:rPr>
          <w:color w:val="000000"/>
        </w:rPr>
        <w:t>ољеног нивоа, дефинисаног датим критеријумом, потребно је предузети корективне мере да би се одржала хигијена процеса у складу са Законом о безбедности хране;</w:t>
      </w:r>
    </w:p>
    <w:p w:rsidR="008875F4" w:rsidRDefault="00D02735">
      <w:pPr>
        <w:spacing w:after="150"/>
      </w:pPr>
      <w:r>
        <w:rPr>
          <w:color w:val="000000"/>
        </w:rPr>
        <w:lastRenderedPageBreak/>
        <w:t>– производна партија (шаржа, серија или лот) јесте група додатака исхрани који су током једног пр</w:t>
      </w:r>
      <w:r>
        <w:rPr>
          <w:color w:val="000000"/>
        </w:rPr>
        <w:t>оцеса, у истоветним условима, произведени, прерађени и паковани;</w:t>
      </w:r>
    </w:p>
    <w:p w:rsidR="008875F4" w:rsidRDefault="00D02735">
      <w:pPr>
        <w:spacing w:after="150"/>
      </w:pPr>
      <w:r>
        <w:rPr>
          <w:color w:val="000000"/>
        </w:rPr>
        <w:t>– храна спремна за конзумирање је храна (додатак исхрани) коју су произвођач или прерађивач наменили за директну исхрану људи без потребе за топлотном обрадом или неком другом врстом обраде ч</w:t>
      </w:r>
      <w:r>
        <w:rPr>
          <w:color w:val="000000"/>
        </w:rPr>
        <w:t>ији би циљ био да се елиминише или смањи на прихватљив ниво број микроорганизама од значаја;</w:t>
      </w:r>
    </w:p>
    <w:p w:rsidR="008875F4" w:rsidRDefault="00D02735">
      <w:pPr>
        <w:spacing w:after="150"/>
      </w:pPr>
      <w:r>
        <w:rPr>
          <w:color w:val="000000"/>
        </w:rPr>
        <w:t>– узорак чини сет састављен од једне или неколико јединица готовог производа или порција материја одабраних на различите начине – овако формиран узорак треба да ом</w:t>
      </w:r>
      <w:r>
        <w:rPr>
          <w:color w:val="000000"/>
        </w:rPr>
        <w:t>огући добијање података на основу којих ће се донети одлука о здравственој исправности испитиване производне партије или хигијене производног процеса;·</w:t>
      </w:r>
    </w:p>
    <w:p w:rsidR="008875F4" w:rsidRDefault="00D02735">
      <w:pPr>
        <w:spacing w:after="150"/>
      </w:pPr>
      <w:r>
        <w:rPr>
          <w:color w:val="000000"/>
        </w:rPr>
        <w:t>– репрезентативни узорак јесте узорак у ком су садржана својства производне партије из које је узорак уз</w:t>
      </w:r>
      <w:r>
        <w:rPr>
          <w:color w:val="000000"/>
        </w:rPr>
        <w:t>ет; то је посебно случај код насумичног узорковања где је свакој јединици производне партије дата иста вероватноћа да ће постати део узорка;</w:t>
      </w:r>
    </w:p>
    <w:p w:rsidR="008875F4" w:rsidRDefault="00D02735">
      <w:pPr>
        <w:spacing w:after="150"/>
      </w:pPr>
      <w:r>
        <w:rPr>
          <w:color w:val="000000"/>
        </w:rPr>
        <w:t>– оцена усаглашености јесте упоређивање резултата микробиолошког испитивања са критеријумима датим у табели 1 и таб</w:t>
      </w:r>
      <w:r>
        <w:rPr>
          <w:color w:val="000000"/>
        </w:rPr>
        <w:t>ели 2 овог прилога;</w:t>
      </w:r>
    </w:p>
    <w:p w:rsidR="008875F4" w:rsidRDefault="00D02735">
      <w:pPr>
        <w:spacing w:after="150"/>
      </w:pPr>
      <w:r>
        <w:rPr>
          <w:color w:val="000000"/>
        </w:rPr>
        <w:t>– усаглашеност са микробиолошким критеријумима јесте добијање задовољавајућих или прихватљивих резултата испитивања утврђених у табели 1 и табели 2 овог прилога, добијених применом методе узорковања и испитивања и спровођења корективних</w:t>
      </w:r>
      <w:r>
        <w:rPr>
          <w:color w:val="000000"/>
        </w:rPr>
        <w:t xml:space="preserve"> мера у складу са Законом о безбедности хране.</w:t>
      </w:r>
    </w:p>
    <w:p w:rsidR="008875F4" w:rsidRDefault="00D02735">
      <w:pPr>
        <w:spacing w:after="120"/>
        <w:jc w:val="center"/>
      </w:pPr>
      <w:r>
        <w:rPr>
          <w:b/>
          <w:color w:val="000000"/>
        </w:rPr>
        <w:t>Општи услови</w:t>
      </w:r>
    </w:p>
    <w:p w:rsidR="008875F4" w:rsidRDefault="00D02735">
      <w:pPr>
        <w:spacing w:after="150"/>
      </w:pPr>
      <w:r>
        <w:rPr>
          <w:color w:val="000000"/>
        </w:rPr>
        <w:t>Субјекти у пословању храном обезбедиће да додаци исхрани буду у складу са релевантним микробиолошким критеријумима утврђеним у овом прилогу; у том циљу, субјекти у пословању храном, предузимају, у</w:t>
      </w:r>
      <w:r>
        <w:rPr>
          <w:color w:val="000000"/>
        </w:rPr>
        <w:t xml:space="preserve"> свакој фази производње, прераде и дистрибуције хране, укључујући и малопродају, мере које чине саставни део процедура субјеката, заснованих на принципима HACCP заједно са спровођењем добре хигијенске и добре произвођачке праксе, како би обезбедили следеће</w:t>
      </w:r>
      <w:r>
        <w:rPr>
          <w:color w:val="000000"/>
        </w:rPr>
        <w:t>:</w:t>
      </w:r>
    </w:p>
    <w:p w:rsidR="008875F4" w:rsidRDefault="00D02735">
      <w:pPr>
        <w:spacing w:after="150"/>
      </w:pPr>
      <w:r>
        <w:rPr>
          <w:color w:val="000000"/>
        </w:rPr>
        <w:t>– да се набавка, руковање и прерада сировина и додатака исхрани која је под њиховом одговорношћу обавља на начин да се испуне критеријуми безбедности хране и хигијене процеса;</w:t>
      </w:r>
    </w:p>
    <w:p w:rsidR="008875F4" w:rsidRDefault="00D02735">
      <w:pPr>
        <w:spacing w:after="150"/>
      </w:pPr>
      <w:r>
        <w:rPr>
          <w:color w:val="000000"/>
        </w:rPr>
        <w:t xml:space="preserve">– да критеријуми безбедности хране, током рока употребе додатка исхрани, могу </w:t>
      </w:r>
      <w:r>
        <w:rPr>
          <w:color w:val="000000"/>
        </w:rPr>
        <w:t>бити испуњени под прописаним условима дистрибуције, складиштења и употребе.</w:t>
      </w:r>
    </w:p>
    <w:p w:rsidR="008875F4" w:rsidRDefault="00D02735">
      <w:pPr>
        <w:spacing w:after="150"/>
      </w:pPr>
      <w:r>
        <w:rPr>
          <w:color w:val="000000"/>
        </w:rPr>
        <w:t>Испитивање у односу на микробиолошке критеријуме</w:t>
      </w:r>
    </w:p>
    <w:p w:rsidR="008875F4" w:rsidRDefault="00D02735">
      <w:pPr>
        <w:spacing w:after="150"/>
      </w:pPr>
      <w:r>
        <w:rPr>
          <w:color w:val="000000"/>
        </w:rPr>
        <w:lastRenderedPageBreak/>
        <w:t>Субјекти у пословању храном су у обавези да спроводе одговарајућа испитивања у односу на микробиолошке критеријуме утврђене у табел</w:t>
      </w:r>
      <w:r>
        <w:rPr>
          <w:color w:val="000000"/>
        </w:rPr>
        <w:t>и 1 и табели 2 овог прилога, приликом валидације или верификације правилног функционисања својих производних поступака односно процедура заснованих на принципима HACCP и доброј хигијенској пракси.</w:t>
      </w:r>
    </w:p>
    <w:p w:rsidR="008875F4" w:rsidRDefault="00D02735">
      <w:pPr>
        <w:spacing w:after="150"/>
      </w:pPr>
      <w:r>
        <w:rPr>
          <w:b/>
          <w:color w:val="000000"/>
        </w:rPr>
        <w:t>Посебна правила за испитивање и узорковање</w:t>
      </w:r>
    </w:p>
    <w:p w:rsidR="008875F4" w:rsidRDefault="00D02735">
      <w:pPr>
        <w:spacing w:after="150"/>
      </w:pPr>
      <w:r>
        <w:rPr>
          <w:color w:val="000000"/>
        </w:rPr>
        <w:t>Методе испитивањ</w:t>
      </w:r>
      <w:r>
        <w:rPr>
          <w:color w:val="000000"/>
        </w:rPr>
        <w:t>а, као и планови и методе узорковања из табеле 1, 2 и 3 овог прилога морају да се примењују као референтне методе.</w:t>
      </w:r>
    </w:p>
    <w:p w:rsidR="008875F4" w:rsidRDefault="00D02735">
      <w:pPr>
        <w:spacing w:after="150"/>
      </w:pPr>
      <w:r>
        <w:rPr>
          <w:color w:val="000000"/>
        </w:rPr>
        <w:t xml:space="preserve">Узорке са површина треба узети из производног простора, као и са опреме која се користи у производњи хране; приликом узорковања примењује се </w:t>
      </w:r>
      <w:r>
        <w:rPr>
          <w:color w:val="000000"/>
        </w:rPr>
        <w:t>ISO стандард 18593.</w:t>
      </w:r>
    </w:p>
    <w:p w:rsidR="008875F4" w:rsidRDefault="00D02735">
      <w:pPr>
        <w:spacing w:after="150"/>
      </w:pPr>
      <w:r>
        <w:rPr>
          <w:color w:val="000000"/>
        </w:rPr>
        <w:t>– субјекти у пословању храном, који се баве производњом хране спремне за конзумирање, а која може да представља ризик по јавно здравље, због присуства Listeria monocytogenes, треба да узимају узорке са површина из производног простора и</w:t>
      </w:r>
      <w:r>
        <w:rPr>
          <w:color w:val="000000"/>
        </w:rPr>
        <w:t xml:space="preserve"> са опреме ради испитивања присуства ове бактерије као део свог редовног плана узорковања;</w:t>
      </w:r>
    </w:p>
    <w:p w:rsidR="008875F4" w:rsidRDefault="00D02735">
      <w:pPr>
        <w:spacing w:after="150"/>
      </w:pPr>
      <w:r>
        <w:rPr>
          <w:color w:val="000000"/>
        </w:rPr>
        <w:t>– субјекти у пословању храном који производе храну у праху за одојчад или храну у праху за посебне медицинске намене намењену за одојчад млађу од шест месеци, а која</w:t>
      </w:r>
      <w:r>
        <w:rPr>
          <w:color w:val="000000"/>
        </w:rPr>
        <w:t xml:space="preserve"> може да представља ризик због присуства Enterobacter sakazaki i, треба да узимају узорке са површина из производног простора и са опреме ради испитивања и праћења присуства Enterobactericeae, као део свог редовног плана узорковања.</w:t>
      </w:r>
    </w:p>
    <w:p w:rsidR="008875F4" w:rsidRDefault="00D02735">
      <w:pPr>
        <w:spacing w:after="150"/>
      </w:pPr>
      <w:r>
        <w:rPr>
          <w:color w:val="000000"/>
        </w:rPr>
        <w:t>Уколико је циљ испитива</w:t>
      </w:r>
      <w:r>
        <w:rPr>
          <w:color w:val="000000"/>
        </w:rPr>
        <w:t>ња да се посебно процени степен прихватљивости одређене производне партије намирнице или процеса, планови узорковања утврђени у табели 1 и табели 2 овог прилога су законски минимум.</w:t>
      </w:r>
    </w:p>
    <w:p w:rsidR="008875F4" w:rsidRDefault="00D02735">
      <w:pPr>
        <w:spacing w:after="120"/>
        <w:jc w:val="center"/>
      </w:pPr>
      <w:r>
        <w:rPr>
          <w:b/>
          <w:color w:val="000000"/>
        </w:rPr>
        <w:t>Незадовољавајући резултати</w:t>
      </w:r>
    </w:p>
    <w:p w:rsidR="008875F4" w:rsidRDefault="00D02735">
      <w:pPr>
        <w:spacing w:after="150"/>
      </w:pPr>
      <w:r>
        <w:rPr>
          <w:color w:val="000000"/>
        </w:rPr>
        <w:t xml:space="preserve">Ако резултати испитивања нису задовољавајући у </w:t>
      </w:r>
      <w:r>
        <w:rPr>
          <w:color w:val="000000"/>
        </w:rPr>
        <w:t>односу на критеријуме утврђене у Табели 1 и Табели 2 овог прилога, субјекти у пословању храном предузимају корективне мере дефинисане у својим процедурама заснованим на принципима HACCP, као и остале мере неопходне за заштиту здравља потрошача.</w:t>
      </w:r>
    </w:p>
    <w:p w:rsidR="008875F4" w:rsidRDefault="00D02735">
      <w:pPr>
        <w:spacing w:after="150"/>
      </w:pPr>
      <w:r>
        <w:rPr>
          <w:color w:val="000000"/>
        </w:rPr>
        <w:t xml:space="preserve">Поред мера </w:t>
      </w:r>
      <w:r>
        <w:rPr>
          <w:color w:val="000000"/>
        </w:rPr>
        <w:t>из става 1. овог одељка, субјекти у пословању храном предузимају и друге мере како би утврдили узроке незадовољавајућих резултата и спречили поновну микробиолошку контаминације у мери која није прихватљива. Те мере могу да укључе и измене процедура заснова</w:t>
      </w:r>
      <w:r>
        <w:rPr>
          <w:color w:val="000000"/>
        </w:rPr>
        <w:t>них на принципима HACCP или измене других мера контроле хигијене хране које се примењују.</w:t>
      </w:r>
    </w:p>
    <w:p w:rsidR="008875F4" w:rsidRDefault="00D02735">
      <w:pPr>
        <w:spacing w:after="150"/>
      </w:pPr>
      <w:r>
        <w:rPr>
          <w:color w:val="000000"/>
        </w:rPr>
        <w:t>Ако се након испитивања на основу критеријума безбедности хране наведених у табели 1 и табели 2 овог прилога, добију незадовољавајући резултати, производна партија на</w:t>
      </w:r>
      <w:r>
        <w:rPr>
          <w:color w:val="000000"/>
        </w:rPr>
        <w:t xml:space="preserve">мирница не сме да се стави у промет, а она </w:t>
      </w:r>
      <w:r>
        <w:rPr>
          <w:color w:val="000000"/>
        </w:rPr>
        <w:lastRenderedPageBreak/>
        <w:t xml:space="preserve">која је у промету повлачи се из промета у складу са Законом о безбедности хране. Међутим, производи који су стављени у промет и не испуњавају критеријуме безбедности хране, али још увек нису стигли у малопродају, </w:t>
      </w:r>
      <w:r>
        <w:rPr>
          <w:color w:val="000000"/>
        </w:rPr>
        <w:t>могу бити послати на даљу прераду применом метода којима се елиминише утврђена опасност. Поменуте методе могу да спроводе искључиво произвођачи.</w:t>
      </w:r>
    </w:p>
    <w:p w:rsidR="008875F4" w:rsidRDefault="00D02735">
      <w:pPr>
        <w:spacing w:after="150"/>
      </w:pPr>
      <w:r>
        <w:rPr>
          <w:color w:val="000000"/>
        </w:rPr>
        <w:t>Субјект у пословању храном може да измени првобитну намену производне партије, под условом да таква измена не п</w:t>
      </w:r>
      <w:r>
        <w:rPr>
          <w:color w:val="000000"/>
        </w:rPr>
        <w:t>редставља ризик по јавно здравље или здравље животиња и под условом да је таква употреба утврђена на основу процедура заснованих на принципима HACCP и доброј хигијенској пракси, и да је одобрена од стране надлежног органа.</w:t>
      </w:r>
    </w:p>
    <w:p w:rsidR="008875F4" w:rsidRDefault="00D02735">
      <w:pPr>
        <w:spacing w:after="150"/>
      </w:pPr>
      <w:r>
        <w:rPr>
          <w:color w:val="000000"/>
        </w:rPr>
        <w:t xml:space="preserve">У случају да добијени резултати, </w:t>
      </w:r>
      <w:r>
        <w:rPr>
          <w:color w:val="000000"/>
        </w:rPr>
        <w:t>нису задовољавајући у односу на критеријуме хигијене процеса, предузимају се мере унапређења хигијене производног процеса, избора сировина и спречавање контаминације после производног процеса. После примењених мера врши се поновљено испитивање узорака. Уко</w:t>
      </w:r>
      <w:r>
        <w:rPr>
          <w:color w:val="000000"/>
        </w:rPr>
        <w:t>лико резултати поновљеног испитивања не одговарају условима хигијене процеса предузимају се мере у складу са Законом о безбедности хране.</w:t>
      </w:r>
    </w:p>
    <w:p w:rsidR="008875F4" w:rsidRDefault="00D02735">
      <w:pPr>
        <w:spacing w:after="150"/>
      </w:pPr>
      <w:r>
        <w:rPr>
          <w:color w:val="000000"/>
        </w:rPr>
        <w:t>Ознаке које се користе у табелама 1 и 2 имају следеће значење:</w:t>
      </w:r>
    </w:p>
    <w:p w:rsidR="008875F4" w:rsidRDefault="00D02735">
      <w:pPr>
        <w:spacing w:after="150"/>
      </w:pPr>
      <w:r>
        <w:rPr>
          <w:color w:val="000000"/>
        </w:rPr>
        <w:t>n – број јединица које чине узорак;</w:t>
      </w:r>
    </w:p>
    <w:p w:rsidR="008875F4" w:rsidRDefault="00D02735">
      <w:pPr>
        <w:spacing w:after="150"/>
      </w:pPr>
      <w:r>
        <w:rPr>
          <w:color w:val="000000"/>
        </w:rPr>
        <w:t xml:space="preserve">m – гранична </w:t>
      </w:r>
      <w:r>
        <w:rPr>
          <w:color w:val="000000"/>
        </w:rPr>
        <w:t>вредност (резултати се сматрају задовољавајућим ако су све добијене вредности мање или једнаке вредности „m”);</w:t>
      </w:r>
    </w:p>
    <w:p w:rsidR="008875F4" w:rsidRDefault="00D02735">
      <w:pPr>
        <w:spacing w:after="150"/>
      </w:pPr>
      <w:r>
        <w:rPr>
          <w:color w:val="000000"/>
        </w:rPr>
        <w:t>М – максимална вредност изнад које се резултати сматрају незадовољавајућим (уколико само један резултат прелази ову вредност, узорак је неприхват</w:t>
      </w:r>
      <w:r>
        <w:rPr>
          <w:color w:val="000000"/>
        </w:rPr>
        <w:t>љив односно незадовољавајући);</w:t>
      </w:r>
    </w:p>
    <w:p w:rsidR="008875F4" w:rsidRDefault="00D02735">
      <w:pPr>
        <w:spacing w:after="150"/>
      </w:pPr>
      <w:r>
        <w:rPr>
          <w:color w:val="000000"/>
        </w:rPr>
        <w:t>c – број јединица узорка у којима вредности могу да буду између „m” и „M”.</w:t>
      </w:r>
    </w:p>
    <w:p w:rsidR="008875F4" w:rsidRDefault="00D02735">
      <w:pPr>
        <w:spacing w:after="150"/>
      </w:pPr>
      <w:r>
        <w:rPr>
          <w:color w:val="000000"/>
        </w:rPr>
        <w:t>(узорак је прихватљив ако су у одређеном броју јединица узорка (c) вредности резултата између „m” и „M” а у осталим јединицама узорка испод или једнак</w:t>
      </w:r>
      <w:r>
        <w:rPr>
          <w:color w:val="000000"/>
        </w:rPr>
        <w:t>о „m”).</w:t>
      </w:r>
    </w:p>
    <w:p w:rsidR="008875F4" w:rsidRDefault="00D02735">
      <w:pPr>
        <w:spacing w:after="120"/>
        <w:jc w:val="center"/>
      </w:pPr>
      <w:r>
        <w:rPr>
          <w:color w:val="000000"/>
        </w:rPr>
        <w:t>Табела 1</w:t>
      </w:r>
      <w:r>
        <w:br/>
      </w:r>
      <w:r>
        <w:rPr>
          <w:color w:val="000000"/>
        </w:rPr>
        <w:t>ДОДАЦИ ИСХРАНИ (ДИЈЕТЕТСКИ СУПЛЕМЕНТИ)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1"/>
        <w:gridCol w:w="1116"/>
        <w:gridCol w:w="2183"/>
        <w:gridCol w:w="622"/>
        <w:gridCol w:w="598"/>
        <w:gridCol w:w="1006"/>
        <w:gridCol w:w="962"/>
        <w:gridCol w:w="1062"/>
        <w:gridCol w:w="1038"/>
      </w:tblGrid>
      <w:tr w:rsidR="008875F4">
        <w:trPr>
          <w:trHeight w:val="45"/>
          <w:tblCellSpacing w:w="0" w:type="auto"/>
        </w:trPr>
        <w:tc>
          <w:tcPr>
            <w:tcW w:w="367" w:type="dxa"/>
            <w:vMerge w:val="restart"/>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b/>
                <w:color w:val="000000"/>
              </w:rPr>
              <w:t>Ред. број</w:t>
            </w:r>
          </w:p>
        </w:tc>
        <w:tc>
          <w:tcPr>
            <w:tcW w:w="1749" w:type="dxa"/>
            <w:vMerge w:val="restart"/>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b/>
                <w:color w:val="000000"/>
              </w:rPr>
              <w:t>Врста производа</w:t>
            </w:r>
          </w:p>
        </w:tc>
        <w:tc>
          <w:tcPr>
            <w:tcW w:w="5158" w:type="dxa"/>
            <w:vMerge w:val="restart"/>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b/>
                <w:color w:val="000000"/>
              </w:rPr>
              <w:t>Микроорганизми/њихови токсини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b/>
                <w:color w:val="000000"/>
              </w:rPr>
              <w:t>План узорковања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b/>
                <w:color w:val="000000"/>
              </w:rPr>
              <w:t>Граничне вредности</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b/>
                <w:color w:val="000000"/>
              </w:rPr>
              <w:t>Напомена</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Референтни метод испитивања</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b/>
                <w:color w:val="000000"/>
              </w:rPr>
              <w:t>n</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b/>
                <w:color w:val="000000"/>
              </w:rPr>
              <w:t>c</w:t>
            </w:r>
          </w:p>
        </w:tc>
        <w:tc>
          <w:tcPr>
            <w:tcW w:w="14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b/>
                <w:color w:val="000000"/>
              </w:rPr>
              <w:t>m</w:t>
            </w:r>
          </w:p>
        </w:tc>
        <w:tc>
          <w:tcPr>
            <w:tcW w:w="1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b/>
                <w:color w:val="000000"/>
              </w:rPr>
              <w:t>M</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8875F4"/>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8875F4"/>
        </w:tc>
      </w:tr>
      <w:tr w:rsidR="008875F4">
        <w:trPr>
          <w:trHeight w:val="45"/>
          <w:tblCellSpacing w:w="0" w:type="auto"/>
        </w:trPr>
        <w:tc>
          <w:tcPr>
            <w:tcW w:w="367" w:type="dxa"/>
            <w:vMerge w:val="restart"/>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w:t>
            </w:r>
          </w:p>
        </w:tc>
        <w:tc>
          <w:tcPr>
            <w:tcW w:w="1749" w:type="dxa"/>
            <w:vMerge w:val="restart"/>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 xml:space="preserve">Препарати у </w:t>
            </w:r>
            <w:r>
              <w:rPr>
                <w:color w:val="000000"/>
              </w:rPr>
              <w:lastRenderedPageBreak/>
              <w:t xml:space="preserve">чији састав улазе сировине природног </w:t>
            </w:r>
            <w:r>
              <w:rPr>
                <w:color w:val="000000"/>
              </w:rPr>
              <w:t>порекла-биљног, животињског или минералног (таблете, капсуле, сирупи, капи итд.)</w:t>
            </w:r>
          </w:p>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lastRenderedPageBreak/>
              <w:t>Salmonella spp.</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 xml:space="preserve">Не сме бити у </w:t>
            </w:r>
            <w:r>
              <w:rPr>
                <w:color w:val="000000"/>
              </w:rPr>
              <w:lastRenderedPageBreak/>
              <w:t>25 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lastRenderedPageBreak/>
              <w:t xml:space="preserve">Критеријум </w:t>
            </w:r>
            <w:r>
              <w:rPr>
                <w:color w:val="000000"/>
              </w:rPr>
              <w:lastRenderedPageBreak/>
              <w:t>безбедности</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lastRenderedPageBreak/>
              <w:t xml:space="preserve">SRPS EN ISO </w:t>
            </w:r>
            <w:r>
              <w:rPr>
                <w:color w:val="000000"/>
              </w:rPr>
              <w:lastRenderedPageBreak/>
              <w:t>6579</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Bacillus cereus</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4</w:t>
            </w:r>
            <w:r>
              <w:rPr>
                <w:color w:val="000000"/>
              </w:rPr>
              <w:t>cfu/g</w:t>
            </w:r>
          </w:p>
        </w:tc>
        <w:tc>
          <w:tcPr>
            <w:tcW w:w="1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5</w:t>
            </w:r>
            <w:r>
              <w:rPr>
                <w:color w:val="000000"/>
              </w:rPr>
              <w:t>cfu/g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безбедности</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7932</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 xml:space="preserve">Escherichia </w:t>
            </w:r>
            <w:r>
              <w:rPr>
                <w:color w:val="000000"/>
              </w:rPr>
              <w:t>coli</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&lt; 10cfu/g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хигијене процеса</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16649-1, 2</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Koagulaza pozitivne stafilokoke</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&lt; 10cfu/g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хигијене процеса</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6888-1, 2: 2009</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Enterobacteriaceae</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2</w:t>
            </w:r>
            <w:r>
              <w:rPr>
                <w:color w:val="000000"/>
              </w:rPr>
              <w:t>cfu/g</w:t>
            </w:r>
          </w:p>
        </w:tc>
        <w:tc>
          <w:tcPr>
            <w:tcW w:w="1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3</w:t>
            </w:r>
            <w:r>
              <w:rPr>
                <w:color w:val="000000"/>
              </w:rPr>
              <w:t>cfu/g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хигијене процеса</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 xml:space="preserve">SRPS EN </w:t>
            </w:r>
            <w:r>
              <w:rPr>
                <w:color w:val="000000"/>
              </w:rPr>
              <w:t>ISO 21528-2</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Broj aerobnih bakterija koje formiraju kolonije</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4</w:t>
            </w:r>
            <w:r>
              <w:rPr>
                <w:color w:val="000000"/>
              </w:rPr>
              <w:t>cfu/g</w:t>
            </w:r>
          </w:p>
        </w:tc>
        <w:tc>
          <w:tcPr>
            <w:tcW w:w="1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2×10</w:t>
            </w:r>
            <w:r>
              <w:rPr>
                <w:color w:val="000000"/>
                <w:vertAlign w:val="superscript"/>
              </w:rPr>
              <w:t>4</w:t>
            </w:r>
            <w:r>
              <w:rPr>
                <w:color w:val="000000"/>
              </w:rPr>
              <w:t>cfu/g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хигијене процеса</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4833</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Плесни и квасци</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2</w:t>
            </w:r>
            <w:r>
              <w:rPr>
                <w:color w:val="000000"/>
              </w:rPr>
              <w:t>cfu/g</w:t>
            </w:r>
          </w:p>
        </w:tc>
        <w:tc>
          <w:tcPr>
            <w:tcW w:w="1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2×10</w:t>
            </w:r>
            <w:r>
              <w:rPr>
                <w:color w:val="000000"/>
                <w:vertAlign w:val="superscript"/>
              </w:rPr>
              <w:t>2</w:t>
            </w:r>
            <w:r>
              <w:rPr>
                <w:color w:val="000000"/>
              </w:rPr>
              <w:t>cfu/g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хигијене процеса</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21527-1: 2011</w:t>
            </w:r>
          </w:p>
        </w:tc>
      </w:tr>
      <w:tr w:rsidR="008875F4">
        <w:trPr>
          <w:trHeight w:val="45"/>
          <w:tblCellSpacing w:w="0" w:type="auto"/>
        </w:trPr>
        <w:tc>
          <w:tcPr>
            <w:tcW w:w="367" w:type="dxa"/>
            <w:vMerge w:val="restart"/>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w:t>
            </w:r>
          </w:p>
        </w:tc>
        <w:tc>
          <w:tcPr>
            <w:tcW w:w="1749" w:type="dxa"/>
            <w:vMerge w:val="restart"/>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 xml:space="preserve">Производи биљних </w:t>
            </w:r>
            <w:r>
              <w:rPr>
                <w:color w:val="000000"/>
              </w:rPr>
              <w:t>сирови</w:t>
            </w:r>
            <w:r>
              <w:rPr>
                <w:color w:val="000000"/>
              </w:rPr>
              <w:lastRenderedPageBreak/>
              <w:t>на и мешавина биљних сировина (чајеви) који се преливају кључалом водом</w:t>
            </w:r>
          </w:p>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lastRenderedPageBreak/>
              <w:t>Salmonella spp.</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Не сме бити у 25 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безбедности</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6579:2008</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Bacillus cereus</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4</w:t>
            </w:r>
            <w:r>
              <w:rPr>
                <w:color w:val="000000"/>
              </w:rPr>
              <w:t>cfu/g</w:t>
            </w:r>
          </w:p>
        </w:tc>
        <w:tc>
          <w:tcPr>
            <w:tcW w:w="1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5</w:t>
            </w:r>
            <w:r>
              <w:rPr>
                <w:color w:val="000000"/>
              </w:rPr>
              <w:t xml:space="preserve"> cfu/g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безбедности</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7932:2009</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Escherichia coli</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2</w:t>
            </w:r>
            <w:r>
              <w:rPr>
                <w:color w:val="000000"/>
              </w:rPr>
              <w:t>cfu/g</w:t>
            </w:r>
          </w:p>
        </w:tc>
        <w:tc>
          <w:tcPr>
            <w:tcW w:w="1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3</w:t>
            </w:r>
            <w:r>
              <w:rPr>
                <w:color w:val="000000"/>
              </w:rPr>
              <w:t xml:space="preserve"> cfu/g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хигијене процеса</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16649-1,2: 2008</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Број аеробних бактерија које формирају колоније</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3</w:t>
            </w:r>
          </w:p>
        </w:tc>
        <w:tc>
          <w:tcPr>
            <w:tcW w:w="14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7</w:t>
            </w:r>
            <w:r>
              <w:rPr>
                <w:color w:val="000000"/>
              </w:rPr>
              <w:t>cfu/g</w:t>
            </w:r>
          </w:p>
        </w:tc>
        <w:tc>
          <w:tcPr>
            <w:tcW w:w="1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5×10</w:t>
            </w:r>
            <w:r>
              <w:rPr>
                <w:color w:val="000000"/>
                <w:vertAlign w:val="superscript"/>
              </w:rPr>
              <w:t>7</w:t>
            </w:r>
            <w:r>
              <w:rPr>
                <w:color w:val="000000"/>
              </w:rPr>
              <w:t>cfu/g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хигијене процеса</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4833:2008</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Плесни и квасци</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5</w:t>
            </w:r>
            <w:r>
              <w:rPr>
                <w:color w:val="000000"/>
              </w:rPr>
              <w:t>cfu/g</w:t>
            </w:r>
          </w:p>
        </w:tc>
        <w:tc>
          <w:tcPr>
            <w:tcW w:w="1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5×10</w:t>
            </w:r>
            <w:r>
              <w:rPr>
                <w:color w:val="000000"/>
                <w:vertAlign w:val="superscript"/>
              </w:rPr>
              <w:t>5</w:t>
            </w:r>
            <w:r>
              <w:rPr>
                <w:color w:val="000000"/>
              </w:rPr>
              <w:t>cfu/g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хигијене процеса</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21527- 2: 2011</w:t>
            </w:r>
          </w:p>
        </w:tc>
      </w:tr>
      <w:tr w:rsidR="008875F4">
        <w:trPr>
          <w:trHeight w:val="45"/>
          <w:tblCellSpacing w:w="0" w:type="auto"/>
        </w:trPr>
        <w:tc>
          <w:tcPr>
            <w:tcW w:w="367" w:type="dxa"/>
            <w:vMerge w:val="restart"/>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3.</w:t>
            </w:r>
          </w:p>
        </w:tc>
        <w:tc>
          <w:tcPr>
            <w:tcW w:w="1749" w:type="dxa"/>
            <w:vMerge w:val="restart"/>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Производи биљних сировина и мешавина биљних сировина (чајеви) који се не преливају кључалом водом</w:t>
            </w:r>
          </w:p>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Salmonella spp.</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Не сме бити у 25 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безбедности</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6579:2008</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Bacillus cereus</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2</w:t>
            </w:r>
            <w:r>
              <w:rPr>
                <w:color w:val="000000"/>
              </w:rPr>
              <w:t>Cfu/g,ml</w:t>
            </w:r>
          </w:p>
        </w:tc>
        <w:tc>
          <w:tcPr>
            <w:tcW w:w="1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3</w:t>
            </w:r>
            <w:r>
              <w:rPr>
                <w:color w:val="000000"/>
              </w:rPr>
              <w:t xml:space="preserve"> cfu/g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безбедности</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7932: 2009</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Escherichia coli</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&lt;10 cfu/g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хигијене процеса</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16649-1, 2: 2008</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Број аеробних бактерија које формирају колоније</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5</w:t>
            </w:r>
            <w:r>
              <w:rPr>
                <w:color w:val="000000"/>
              </w:rPr>
              <w:t>cfu/g</w:t>
            </w:r>
          </w:p>
        </w:tc>
        <w:tc>
          <w:tcPr>
            <w:tcW w:w="1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2×10</w:t>
            </w:r>
            <w:r>
              <w:rPr>
                <w:color w:val="000000"/>
                <w:vertAlign w:val="superscript"/>
              </w:rPr>
              <w:t>5</w:t>
            </w:r>
            <w:r>
              <w:rPr>
                <w:color w:val="000000"/>
              </w:rPr>
              <w:t>cfu/g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хигијене процес</w:t>
            </w:r>
            <w:r>
              <w:rPr>
                <w:color w:val="000000"/>
              </w:rPr>
              <w:lastRenderedPageBreak/>
              <w:t>а</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lastRenderedPageBreak/>
              <w:t>SRPS EN ISO 4833: 2008</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Плесни и квасци</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4</w:t>
            </w:r>
            <w:r>
              <w:rPr>
                <w:color w:val="000000"/>
              </w:rPr>
              <w:t>cfu/g</w:t>
            </w:r>
          </w:p>
        </w:tc>
        <w:tc>
          <w:tcPr>
            <w:tcW w:w="1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2×10</w:t>
            </w:r>
            <w:r>
              <w:rPr>
                <w:color w:val="000000"/>
                <w:vertAlign w:val="superscript"/>
              </w:rPr>
              <w:t>4</w:t>
            </w:r>
            <w:r>
              <w:rPr>
                <w:color w:val="000000"/>
              </w:rPr>
              <w:t>cfu/g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хигијене процеса</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21527- 2: 2011</w:t>
            </w:r>
          </w:p>
        </w:tc>
      </w:tr>
      <w:tr w:rsidR="008875F4">
        <w:trPr>
          <w:trHeight w:val="45"/>
          <w:tblCellSpacing w:w="0" w:type="auto"/>
        </w:trPr>
        <w:tc>
          <w:tcPr>
            <w:tcW w:w="367" w:type="dxa"/>
            <w:vMerge w:val="restart"/>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4.</w:t>
            </w:r>
          </w:p>
        </w:tc>
        <w:tc>
          <w:tcPr>
            <w:tcW w:w="1749" w:type="dxa"/>
            <w:vMerge w:val="restart"/>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Остали додаци исхрани</w:t>
            </w:r>
          </w:p>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Salmonella spp.</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Не сме бити у 25g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безбедности</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 xml:space="preserve">SRPS EN ISO 6579: </w:t>
            </w:r>
            <w:r>
              <w:rPr>
                <w:color w:val="000000"/>
              </w:rPr>
              <w:t>2008</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Escherichia coli</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&lt;10 cfu/g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хигијене процеса</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СРПС ЕН ИСО 16649-1,2: 2008</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Koagulaza pozitivne</w:t>
            </w:r>
            <w:r>
              <w:br/>
            </w:r>
            <w:r>
              <w:rPr>
                <w:color w:val="000000"/>
              </w:rPr>
              <w:t>stafilokoke</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10cfg/ml</w:t>
            </w:r>
          </w:p>
        </w:tc>
        <w:tc>
          <w:tcPr>
            <w:tcW w:w="1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2</w:t>
            </w:r>
            <w:r>
              <w:rPr>
                <w:color w:val="000000"/>
              </w:rPr>
              <w:t xml:space="preserve"> cfu/g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хигијене процеса</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6888-1, 2: 2009</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Enterobacteriaceae</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1</w:t>
            </w:r>
            <w:r>
              <w:rPr>
                <w:color w:val="000000"/>
              </w:rPr>
              <w:t>cfu/g</w:t>
            </w:r>
          </w:p>
        </w:tc>
        <w:tc>
          <w:tcPr>
            <w:tcW w:w="1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2</w:t>
            </w:r>
            <w:r>
              <w:rPr>
                <w:color w:val="000000"/>
              </w:rPr>
              <w:t>/cfu/g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хигијене процеса</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21528-1:2009</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Број аеробних бактерија које формирају колоније</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2</w:t>
            </w:r>
            <w:r>
              <w:rPr>
                <w:color w:val="000000"/>
              </w:rPr>
              <w:t>cfu/g</w:t>
            </w:r>
          </w:p>
        </w:tc>
        <w:tc>
          <w:tcPr>
            <w:tcW w:w="1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2×10</w:t>
            </w:r>
            <w:r>
              <w:rPr>
                <w:color w:val="000000"/>
                <w:vertAlign w:val="superscript"/>
              </w:rPr>
              <w:t>2</w:t>
            </w:r>
            <w:r>
              <w:rPr>
                <w:color w:val="000000"/>
              </w:rPr>
              <w:t>cfu/g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хигијене процеса</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4833:2008</w:t>
            </w: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515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Плесни и квасци</w:t>
            </w:r>
          </w:p>
        </w:tc>
        <w:tc>
          <w:tcPr>
            <w:tcW w:w="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2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10</w:t>
            </w:r>
            <w:r>
              <w:rPr>
                <w:color w:val="000000"/>
                <w:vertAlign w:val="superscript"/>
              </w:rPr>
              <w:t>2</w:t>
            </w:r>
            <w:r>
              <w:rPr>
                <w:color w:val="000000"/>
              </w:rPr>
              <w:t>cfu/g l</w:t>
            </w:r>
          </w:p>
        </w:tc>
        <w:tc>
          <w:tcPr>
            <w:tcW w:w="1296"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2×10</w:t>
            </w:r>
            <w:r>
              <w:rPr>
                <w:color w:val="000000"/>
                <w:vertAlign w:val="superscript"/>
              </w:rPr>
              <w:t>2</w:t>
            </w:r>
            <w:r>
              <w:rPr>
                <w:color w:val="000000"/>
              </w:rPr>
              <w:t>cfu/g</w:t>
            </w:r>
          </w:p>
        </w:tc>
        <w:tc>
          <w:tcPr>
            <w:tcW w:w="217"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Критеријум хигијене процес</w:t>
            </w:r>
            <w:r>
              <w:rPr>
                <w:color w:val="000000"/>
              </w:rPr>
              <w:lastRenderedPageBreak/>
              <w:t>а</w:t>
            </w:r>
          </w:p>
        </w:tc>
        <w:tc>
          <w:tcPr>
            <w:tcW w:w="363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lastRenderedPageBreak/>
              <w:t xml:space="preserve">SRPS </w:t>
            </w:r>
            <w:r>
              <w:rPr>
                <w:color w:val="000000"/>
              </w:rPr>
              <w:t>EN ISO 21527-1: 2011</w:t>
            </w:r>
          </w:p>
        </w:tc>
      </w:tr>
    </w:tbl>
    <w:p w:rsidR="008875F4" w:rsidRDefault="00D02735">
      <w:pPr>
        <w:spacing w:after="120"/>
        <w:jc w:val="center"/>
      </w:pPr>
      <w:r>
        <w:rPr>
          <w:color w:val="000000"/>
        </w:rPr>
        <w:lastRenderedPageBreak/>
        <w:t>Табела 2</w:t>
      </w:r>
      <w:r>
        <w:br/>
      </w:r>
      <w:r>
        <w:rPr>
          <w:color w:val="000000"/>
        </w:rPr>
        <w:t>СПИСАК РЕФЕРЕНТНИХ МЕТОДА ИСПИТИВАЊА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54"/>
        <w:gridCol w:w="5074"/>
      </w:tblGrid>
      <w:tr w:rsidR="008875F4">
        <w:trPr>
          <w:trHeight w:val="45"/>
          <w:tblCellSpacing w:w="0" w:type="auto"/>
        </w:trPr>
        <w:tc>
          <w:tcPr>
            <w:tcW w:w="552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Salmonella</w:t>
            </w:r>
          </w:p>
        </w:tc>
        <w:tc>
          <w:tcPr>
            <w:tcW w:w="8871"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6579</w:t>
            </w:r>
          </w:p>
        </w:tc>
      </w:tr>
      <w:tr w:rsidR="008875F4">
        <w:trPr>
          <w:trHeight w:val="45"/>
          <w:tblCellSpacing w:w="0" w:type="auto"/>
        </w:trPr>
        <w:tc>
          <w:tcPr>
            <w:tcW w:w="552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Enterobacteriacea</w:t>
            </w:r>
          </w:p>
        </w:tc>
        <w:tc>
          <w:tcPr>
            <w:tcW w:w="8871"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ISO 21528-1 21528-2</w:t>
            </w:r>
          </w:p>
        </w:tc>
      </w:tr>
      <w:tr w:rsidR="008875F4">
        <w:trPr>
          <w:trHeight w:val="45"/>
          <w:tblCellSpacing w:w="0" w:type="auto"/>
        </w:trPr>
        <w:tc>
          <w:tcPr>
            <w:tcW w:w="552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Број аеробних бактерија</w:t>
            </w:r>
          </w:p>
        </w:tc>
        <w:tc>
          <w:tcPr>
            <w:tcW w:w="8871"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4833</w:t>
            </w:r>
          </w:p>
        </w:tc>
      </w:tr>
      <w:tr w:rsidR="008875F4">
        <w:trPr>
          <w:trHeight w:val="45"/>
          <w:tblCellSpacing w:w="0" w:type="auto"/>
        </w:trPr>
        <w:tc>
          <w:tcPr>
            <w:tcW w:w="552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Escherichia coli</w:t>
            </w:r>
          </w:p>
        </w:tc>
        <w:tc>
          <w:tcPr>
            <w:tcW w:w="8871"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ISO 16649-, 16649-2 i 16649-3</w:t>
            </w:r>
          </w:p>
        </w:tc>
      </w:tr>
      <w:tr w:rsidR="008875F4">
        <w:trPr>
          <w:trHeight w:val="45"/>
          <w:tblCellSpacing w:w="0" w:type="auto"/>
        </w:trPr>
        <w:tc>
          <w:tcPr>
            <w:tcW w:w="552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Bacillus cereus</w:t>
            </w:r>
          </w:p>
        </w:tc>
        <w:tc>
          <w:tcPr>
            <w:tcW w:w="8871"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w:t>
            </w:r>
            <w:r>
              <w:rPr>
                <w:color w:val="000000"/>
              </w:rPr>
              <w:t xml:space="preserve"> EN ISO 7932</w:t>
            </w:r>
          </w:p>
        </w:tc>
      </w:tr>
      <w:tr w:rsidR="008875F4">
        <w:trPr>
          <w:trHeight w:val="45"/>
          <w:tblCellSpacing w:w="0" w:type="auto"/>
        </w:trPr>
        <w:tc>
          <w:tcPr>
            <w:tcW w:w="552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Clostridium perfringens</w:t>
            </w:r>
          </w:p>
        </w:tc>
        <w:tc>
          <w:tcPr>
            <w:tcW w:w="8871"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7937</w:t>
            </w:r>
          </w:p>
        </w:tc>
      </w:tr>
      <w:tr w:rsidR="008875F4">
        <w:trPr>
          <w:trHeight w:val="45"/>
          <w:tblCellSpacing w:w="0" w:type="auto"/>
        </w:trPr>
        <w:tc>
          <w:tcPr>
            <w:tcW w:w="552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Listeria monocytogenes</w:t>
            </w:r>
          </w:p>
        </w:tc>
        <w:tc>
          <w:tcPr>
            <w:tcW w:w="8871"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11290-1 и 11290-2</w:t>
            </w:r>
          </w:p>
        </w:tc>
      </w:tr>
      <w:tr w:rsidR="008875F4">
        <w:trPr>
          <w:trHeight w:val="45"/>
          <w:tblCellSpacing w:w="0" w:type="auto"/>
        </w:trPr>
        <w:tc>
          <w:tcPr>
            <w:tcW w:w="552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Коагулаза позитивне стафилококе</w:t>
            </w:r>
          </w:p>
        </w:tc>
        <w:tc>
          <w:tcPr>
            <w:tcW w:w="8871"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6888-1 или EN ISO 6888-2</w:t>
            </w:r>
          </w:p>
        </w:tc>
      </w:tr>
      <w:tr w:rsidR="008875F4">
        <w:trPr>
          <w:trHeight w:val="45"/>
          <w:tblCellSpacing w:w="0" w:type="auto"/>
        </w:trPr>
        <w:tc>
          <w:tcPr>
            <w:tcW w:w="552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Квасци и плесни</w:t>
            </w:r>
          </w:p>
        </w:tc>
        <w:tc>
          <w:tcPr>
            <w:tcW w:w="8871"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ISO 21527-1, ISO 21527-2</w:t>
            </w:r>
          </w:p>
        </w:tc>
      </w:tr>
      <w:tr w:rsidR="008875F4">
        <w:trPr>
          <w:trHeight w:val="45"/>
          <w:tblCellSpacing w:w="0" w:type="auto"/>
        </w:trPr>
        <w:tc>
          <w:tcPr>
            <w:tcW w:w="552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Enterobacter sakazakii</w:t>
            </w:r>
          </w:p>
        </w:tc>
        <w:tc>
          <w:tcPr>
            <w:tcW w:w="8871"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 xml:space="preserve">SRPS </w:t>
            </w:r>
            <w:r>
              <w:rPr>
                <w:color w:val="000000"/>
              </w:rPr>
              <w:t>ISO /TS 22964</w:t>
            </w:r>
          </w:p>
        </w:tc>
      </w:tr>
      <w:tr w:rsidR="008875F4">
        <w:trPr>
          <w:trHeight w:val="45"/>
          <w:tblCellSpacing w:w="0" w:type="auto"/>
        </w:trPr>
        <w:tc>
          <w:tcPr>
            <w:tcW w:w="5529"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Сулфиторедукујуће клостридије</w:t>
            </w:r>
          </w:p>
        </w:tc>
        <w:tc>
          <w:tcPr>
            <w:tcW w:w="8871"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SRPS EN ISO 7937</w:t>
            </w:r>
          </w:p>
        </w:tc>
      </w:tr>
    </w:tbl>
    <w:p w:rsidR="008875F4" w:rsidRDefault="00D02735">
      <w:pPr>
        <w:spacing w:after="150"/>
        <w:jc w:val="right"/>
      </w:pPr>
      <w:r>
        <w:rPr>
          <w:color w:val="000000"/>
        </w:rPr>
        <w:t>Прилог VI.</w:t>
      </w:r>
    </w:p>
    <w:p w:rsidR="008875F4" w:rsidRDefault="00D02735">
      <w:pPr>
        <w:spacing w:after="120"/>
        <w:jc w:val="center"/>
      </w:pPr>
      <w:r>
        <w:rPr>
          <w:color w:val="000000"/>
        </w:rPr>
        <w:t>ОБРАЗАЦ ЗАХТЕВА ЗА УПИС ДОДАТКА ИСХРАНИ У БАЗУ ПОДАТАКА КОЈЕ ВОДИ МИНИСТАРСТВО ЗДРАВЉА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26"/>
        <w:gridCol w:w="7777"/>
        <w:gridCol w:w="325"/>
      </w:tblGrid>
      <w:tr w:rsidR="008875F4">
        <w:trPr>
          <w:trHeight w:val="45"/>
          <w:tblCellSpacing w:w="0" w:type="auto"/>
        </w:trPr>
        <w:tc>
          <w:tcPr>
            <w:tcW w:w="1485"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w:t>
            </w:r>
          </w:p>
        </w:tc>
        <w:tc>
          <w:tcPr>
            <w:tcW w:w="1251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Назив додатка исхрани</w:t>
            </w:r>
          </w:p>
        </w:tc>
        <w:tc>
          <w:tcPr>
            <w:tcW w:w="405"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1485"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w:t>
            </w:r>
          </w:p>
        </w:tc>
        <w:tc>
          <w:tcPr>
            <w:tcW w:w="1251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Подносилац захтева,</w:t>
            </w:r>
          </w:p>
          <w:p w:rsidR="008875F4" w:rsidRDefault="00D02735">
            <w:pPr>
              <w:spacing w:after="150"/>
            </w:pPr>
            <w:r>
              <w:rPr>
                <w:color w:val="000000"/>
              </w:rPr>
              <w:t xml:space="preserve">подаци о носиоцу уписа (пун назив привредног </w:t>
            </w:r>
            <w:r>
              <w:rPr>
                <w:color w:val="000000"/>
              </w:rPr>
              <w:t>субјекта, име и презиме одговорног лица, адреса: место, улица и број, телефон, факс, е-маил, интернет адреса)</w:t>
            </w:r>
          </w:p>
        </w:tc>
        <w:tc>
          <w:tcPr>
            <w:tcW w:w="405"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1485"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3.</w:t>
            </w:r>
          </w:p>
        </w:tc>
        <w:tc>
          <w:tcPr>
            <w:tcW w:w="1251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Назив и адреса произвођача у Републици Србији</w:t>
            </w:r>
          </w:p>
        </w:tc>
        <w:tc>
          <w:tcPr>
            <w:tcW w:w="405"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1485" w:type="dxa"/>
            <w:vMerge w:val="restart"/>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4.</w:t>
            </w:r>
          </w:p>
        </w:tc>
        <w:tc>
          <w:tcPr>
            <w:tcW w:w="12510" w:type="dxa"/>
            <w:vMerge w:val="restart"/>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Назив и адреса увозника</w:t>
            </w:r>
          </w:p>
        </w:tc>
        <w:tc>
          <w:tcPr>
            <w:tcW w:w="405"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405"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405"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405"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875F4" w:rsidRDefault="008875F4"/>
        </w:tc>
        <w:tc>
          <w:tcPr>
            <w:tcW w:w="0" w:type="auto"/>
            <w:vMerge/>
            <w:tcBorders>
              <w:top w:val="nil"/>
              <w:left w:val="single" w:sz="8" w:space="0" w:color="000000"/>
              <w:bottom w:val="single" w:sz="8" w:space="0" w:color="000000"/>
              <w:right w:val="single" w:sz="8" w:space="0" w:color="000000"/>
            </w:tcBorders>
          </w:tcPr>
          <w:p w:rsidR="008875F4" w:rsidRDefault="008875F4"/>
        </w:tc>
        <w:tc>
          <w:tcPr>
            <w:tcW w:w="405"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1485"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1251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Земља порекла, назив и адреса произвођача</w:t>
            </w:r>
          </w:p>
        </w:tc>
        <w:tc>
          <w:tcPr>
            <w:tcW w:w="405"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1485"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6.</w:t>
            </w:r>
          </w:p>
        </w:tc>
        <w:tc>
          <w:tcPr>
            <w:tcW w:w="1251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Земља извоза, назив и адреса извозника</w:t>
            </w:r>
          </w:p>
        </w:tc>
        <w:tc>
          <w:tcPr>
            <w:tcW w:w="405"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1485"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lastRenderedPageBreak/>
              <w:t>7.</w:t>
            </w:r>
          </w:p>
        </w:tc>
        <w:tc>
          <w:tcPr>
            <w:tcW w:w="1251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Лице за контакт (име и презиме, телефон, факс, е-маил)</w:t>
            </w:r>
          </w:p>
        </w:tc>
        <w:tc>
          <w:tcPr>
            <w:tcW w:w="405" w:type="dxa"/>
            <w:tcBorders>
              <w:top w:val="single" w:sz="8" w:space="0" w:color="000000"/>
              <w:left w:val="single" w:sz="8" w:space="0" w:color="000000"/>
              <w:bottom w:val="single" w:sz="8" w:space="0" w:color="000000"/>
              <w:right w:val="single" w:sz="8" w:space="0" w:color="000000"/>
            </w:tcBorders>
            <w:vAlign w:val="center"/>
          </w:tcPr>
          <w:p w:rsidR="008875F4" w:rsidRDefault="008875F4"/>
        </w:tc>
      </w:tr>
    </w:tbl>
    <w:p w:rsidR="008875F4" w:rsidRDefault="00D02735">
      <w:pPr>
        <w:spacing w:after="150"/>
      </w:pPr>
      <w:r>
        <w:rPr>
          <w:color w:val="000000"/>
        </w:rPr>
        <w:t>Прилог:*</w:t>
      </w:r>
    </w:p>
    <w:p w:rsidR="008875F4" w:rsidRDefault="00D02735">
      <w:pPr>
        <w:spacing w:after="150"/>
      </w:pPr>
      <w:r>
        <w:rPr>
          <w:color w:val="000000"/>
        </w:rPr>
        <w:t>1. стручно мишљење и категоризација Фармацеутског факултета Универзитета у Београду или Фармацеутског факултета Нови Сад Универзитета Привредна</w:t>
      </w:r>
      <w:r>
        <w:rPr>
          <w:color w:val="000000"/>
        </w:rPr>
        <w:t xml:space="preserve"> Академија у Новом Саду;</w:t>
      </w:r>
    </w:p>
    <w:p w:rsidR="008875F4" w:rsidRDefault="00D02735">
      <w:pPr>
        <w:spacing w:after="150"/>
      </w:pPr>
      <w:r>
        <w:rPr>
          <w:color w:val="000000"/>
        </w:rPr>
        <w:t>2. текст декларације одобрен од стране Фармацеутског факултета Универзитета у Београду или Фармацеутског факултета Нови Сад Универзитета Привредна Академија у Новом Саду;</w:t>
      </w:r>
    </w:p>
    <w:p w:rsidR="008875F4" w:rsidRDefault="00D02735">
      <w:pPr>
        <w:spacing w:after="150"/>
      </w:pPr>
      <w:r>
        <w:rPr>
          <w:color w:val="000000"/>
        </w:rPr>
        <w:t>3. стручно мишљење и аналитички извештај здравствене установ</w:t>
      </w:r>
      <w:r>
        <w:rPr>
          <w:color w:val="000000"/>
        </w:rPr>
        <w:t xml:space="preserve">е о здравственој исправности додатка исхрани (Институт за јавно здравље Србије „Др Милан Јовановић Батут“, Институт за јавно здравље Војводине, Институт за јавно здравље Ниш, Институт за јавно здравље Крагујевац, Градски завод за јавно здравље Београд или </w:t>
      </w:r>
      <w:r>
        <w:rPr>
          <w:color w:val="000000"/>
        </w:rPr>
        <w:t>Институт за хигијену Војномедицинске академије);</w:t>
      </w:r>
    </w:p>
    <w:p w:rsidR="008875F4" w:rsidRDefault="00D02735">
      <w:pPr>
        <w:spacing w:after="150"/>
      </w:pPr>
      <w:r>
        <w:rPr>
          <w:color w:val="000000"/>
        </w:rPr>
        <w:t xml:space="preserve">4. сертификат надлежног органа да је додатак исхрани произведен у складу са принципима анализе опасности и критичних контролних тачака (HACCP) и/или добре произвођачке праксе (GMP) i dobre higijenske prakse </w:t>
      </w:r>
      <w:r>
        <w:rPr>
          <w:color w:val="000000"/>
        </w:rPr>
        <w:t>(GHP);</w:t>
      </w:r>
    </w:p>
    <w:p w:rsidR="008875F4" w:rsidRDefault="00D02735">
      <w:pPr>
        <w:spacing w:after="150"/>
      </w:pPr>
      <w:r>
        <w:rPr>
          <w:color w:val="000000"/>
        </w:rPr>
        <w:t>5. потврда надлежног државног органа да се додатак исхрани налази у промету у земљи произвођача или да се налази у промету у земљи чланици ЕУ;</w:t>
      </w:r>
    </w:p>
    <w:p w:rsidR="008875F4" w:rsidRDefault="00D02735">
      <w:pPr>
        <w:spacing w:after="150"/>
      </w:pPr>
      <w:r>
        <w:rPr>
          <w:color w:val="000000"/>
        </w:rPr>
        <w:t xml:space="preserve">6. изјава произвођача да додатак исхрани не садржи генетички модификоване микроорганизме (GMO) и сировине </w:t>
      </w:r>
      <w:r>
        <w:rPr>
          <w:color w:val="000000"/>
        </w:rPr>
        <w:t>ризичне од спонгиформне енцефалопатије говеда и других трансмисивних спонгиформних енцефалопатија (BSE/TSE);</w:t>
      </w:r>
    </w:p>
    <w:p w:rsidR="008875F4" w:rsidRDefault="00D02735">
      <w:pPr>
        <w:spacing w:after="150"/>
      </w:pPr>
      <w:r>
        <w:rPr>
          <w:color w:val="000000"/>
        </w:rPr>
        <w:t xml:space="preserve">7. фотокопија решења, односно записника санитарног инспектора о испуњености општих и посебних санитарно-хигијенских услова за производњу додатака </w:t>
      </w:r>
      <w:r>
        <w:rPr>
          <w:color w:val="000000"/>
        </w:rPr>
        <w:t>исхрани (за произвођаче у Републици Србији);</w:t>
      </w:r>
    </w:p>
    <w:p w:rsidR="008875F4" w:rsidRDefault="00D02735">
      <w:pPr>
        <w:spacing w:after="150"/>
      </w:pPr>
      <w:r>
        <w:rPr>
          <w:color w:val="000000"/>
        </w:rPr>
        <w:t>8. фотокопија уписа у Регистар Агенције за привредне регистре Србије или фотокопија последње промене у Агенцији за привредне регистре Србије;</w:t>
      </w:r>
    </w:p>
    <w:p w:rsidR="008875F4" w:rsidRDefault="00D02735">
      <w:pPr>
        <w:spacing w:after="150"/>
      </w:pPr>
      <w:r>
        <w:rPr>
          <w:color w:val="000000"/>
        </w:rPr>
        <w:t>9. фотокопија уплатнице као доказ за покривање трошкова поступка упис</w:t>
      </w:r>
      <w:r>
        <w:rPr>
          <w:color w:val="000000"/>
        </w:rPr>
        <w:t>а додатка исхрани у базу података министарства;</w:t>
      </w:r>
    </w:p>
    <w:p w:rsidR="008875F4" w:rsidRDefault="00D02735">
      <w:pPr>
        <w:spacing w:after="150"/>
      </w:pPr>
      <w:r>
        <w:rPr>
          <w:color w:val="000000"/>
        </w:rPr>
        <w:t>Овим изјављујем да су копије документације из тач. 1) до 9) овог прилога веродостојне оригиналу.</w:t>
      </w:r>
    </w:p>
    <w:p w:rsidR="008875F4" w:rsidRDefault="008875F4">
      <w:pPr>
        <w:spacing w:after="15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08"/>
        <w:gridCol w:w="5020"/>
      </w:tblGrid>
      <w:tr w:rsidR="008875F4">
        <w:trPr>
          <w:trHeight w:val="45"/>
          <w:tblCellSpacing w:w="0" w:type="auto"/>
        </w:trPr>
        <w:tc>
          <w:tcPr>
            <w:tcW w:w="6878"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Датум _______________</w:t>
            </w:r>
          </w:p>
        </w:tc>
        <w:tc>
          <w:tcPr>
            <w:tcW w:w="7522"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6878"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c>
          <w:tcPr>
            <w:tcW w:w="7522"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Потпис_________________</w:t>
            </w:r>
          </w:p>
        </w:tc>
      </w:tr>
    </w:tbl>
    <w:p w:rsidR="008875F4" w:rsidRDefault="00D02735">
      <w:pPr>
        <w:spacing w:after="150"/>
      </w:pPr>
      <w:r>
        <w:rPr>
          <w:color w:val="000000"/>
        </w:rPr>
        <w:lastRenderedPageBreak/>
        <w:t>* Документација се доставља у виду фотокопије оригинала, а д</w:t>
      </w:r>
      <w:r>
        <w:rPr>
          <w:color w:val="000000"/>
        </w:rPr>
        <w:t>окази из тач. 4), 5) и 6) овог прилога и на српском језику (превод на српски језик од стране овлашћеног судског преводиоца).</w:t>
      </w:r>
    </w:p>
    <w:p w:rsidR="008875F4" w:rsidRDefault="00D02735">
      <w:pPr>
        <w:spacing w:after="150"/>
        <w:jc w:val="right"/>
      </w:pPr>
      <w:r>
        <w:rPr>
          <w:color w:val="000000"/>
        </w:rPr>
        <w:t>Прилог VII.</w:t>
      </w:r>
    </w:p>
    <w:p w:rsidR="008875F4" w:rsidRDefault="00D02735">
      <w:pPr>
        <w:spacing w:after="120"/>
        <w:jc w:val="center"/>
      </w:pPr>
      <w:r>
        <w:rPr>
          <w:color w:val="000000"/>
        </w:rPr>
        <w:t>ОБРАЗАЦ ЗАХТЕВА ФАРМАЦЕУТСКОМ ФАКУЛТЕТУ ЗА ДОБИЈАЊЕ СТРУЧНОГ МИШЉЕЊА, КАТЕГОРИЗАЦИЈЕ И ОДОБРЕЊА ТЕКСТА ДЕКЛАРАЦИЈЕ ДОДА</w:t>
      </w:r>
      <w:r>
        <w:rPr>
          <w:color w:val="000000"/>
        </w:rPr>
        <w:t>ТКА ИСХРАНИ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92"/>
        <w:gridCol w:w="5403"/>
        <w:gridCol w:w="833"/>
      </w:tblGrid>
      <w:tr w:rsidR="008875F4">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w:t>
            </w:r>
          </w:p>
        </w:tc>
        <w:tc>
          <w:tcPr>
            <w:tcW w:w="8292"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Назив додатка исхрани</w:t>
            </w:r>
          </w:p>
        </w:tc>
        <w:tc>
          <w:tcPr>
            <w:tcW w:w="1308"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w:t>
            </w:r>
          </w:p>
        </w:tc>
        <w:tc>
          <w:tcPr>
            <w:tcW w:w="8292"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Назив и адреса подносиоца захтева</w:t>
            </w:r>
          </w:p>
        </w:tc>
        <w:tc>
          <w:tcPr>
            <w:tcW w:w="1308"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3.</w:t>
            </w:r>
          </w:p>
        </w:tc>
        <w:tc>
          <w:tcPr>
            <w:tcW w:w="8292"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Назив и адреса произвођача у Републици Србији</w:t>
            </w:r>
          </w:p>
        </w:tc>
        <w:tc>
          <w:tcPr>
            <w:tcW w:w="1308"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4.</w:t>
            </w:r>
          </w:p>
        </w:tc>
        <w:tc>
          <w:tcPr>
            <w:tcW w:w="8292"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Назив и адреса увозника</w:t>
            </w:r>
          </w:p>
        </w:tc>
        <w:tc>
          <w:tcPr>
            <w:tcW w:w="1308"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5.</w:t>
            </w:r>
          </w:p>
        </w:tc>
        <w:tc>
          <w:tcPr>
            <w:tcW w:w="8292"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Земља порекла, назив и адреса произвођача</w:t>
            </w:r>
          </w:p>
        </w:tc>
        <w:tc>
          <w:tcPr>
            <w:tcW w:w="1308"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6.</w:t>
            </w:r>
          </w:p>
        </w:tc>
        <w:tc>
          <w:tcPr>
            <w:tcW w:w="8292"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Земља извоза, назив и адреса извозника</w:t>
            </w:r>
          </w:p>
        </w:tc>
        <w:tc>
          <w:tcPr>
            <w:tcW w:w="1308"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bl>
    <w:p w:rsidR="008875F4" w:rsidRDefault="00D02735">
      <w:pPr>
        <w:spacing w:after="150"/>
      </w:pPr>
      <w:r>
        <w:rPr>
          <w:color w:val="000000"/>
        </w:rPr>
        <w:t>Прилог*:</w:t>
      </w:r>
    </w:p>
    <w:p w:rsidR="008875F4" w:rsidRDefault="00D02735">
      <w:pPr>
        <w:spacing w:after="150"/>
      </w:pPr>
      <w:r>
        <w:rPr>
          <w:color w:val="000000"/>
        </w:rPr>
        <w:t>1) квалитативни и квантитативни састав додатка исхрани;</w:t>
      </w:r>
    </w:p>
    <w:p w:rsidR="008875F4" w:rsidRDefault="00D02735">
      <w:pPr>
        <w:spacing w:after="150"/>
      </w:pPr>
      <w:r>
        <w:rPr>
          <w:color w:val="000000"/>
        </w:rPr>
        <w:t>2) спецификација сировина и порекло сировина;</w:t>
      </w:r>
    </w:p>
    <w:p w:rsidR="008875F4" w:rsidRDefault="00D02735">
      <w:pPr>
        <w:spacing w:after="150"/>
      </w:pPr>
      <w:r>
        <w:rPr>
          <w:color w:val="000000"/>
        </w:rPr>
        <w:t>3) упутство о намени и начину примене додатка исхрани;</w:t>
      </w:r>
    </w:p>
    <w:p w:rsidR="008875F4" w:rsidRDefault="00D02735">
      <w:pPr>
        <w:spacing w:after="150"/>
      </w:pPr>
      <w:r>
        <w:rPr>
          <w:color w:val="000000"/>
        </w:rPr>
        <w:t>4) ограничења за употребу и посебна упозорења за додатак исхрани (ако постоје);</w:t>
      </w:r>
    </w:p>
    <w:p w:rsidR="008875F4" w:rsidRDefault="00D02735">
      <w:pPr>
        <w:spacing w:after="150"/>
      </w:pPr>
      <w:r>
        <w:rPr>
          <w:color w:val="000000"/>
        </w:rPr>
        <w:t>5) деклара</w:t>
      </w:r>
      <w:r>
        <w:rPr>
          <w:color w:val="000000"/>
        </w:rPr>
        <w:t>ција додатка исхрани;</w:t>
      </w:r>
    </w:p>
    <w:p w:rsidR="008875F4" w:rsidRDefault="00D02735">
      <w:pPr>
        <w:spacing w:after="150"/>
      </w:pPr>
      <w:r>
        <w:rPr>
          <w:color w:val="000000"/>
        </w:rPr>
        <w:t>6) идејно решење амбалаже са сликовним знаком.</w:t>
      </w:r>
    </w:p>
    <w:p w:rsidR="008875F4" w:rsidRDefault="00D02735">
      <w:pPr>
        <w:spacing w:after="150"/>
      </w:pPr>
      <w:r>
        <w:rPr>
          <w:color w:val="000000"/>
        </w:rPr>
        <w:t>* Документација се доставља у виду фотокопије оригинала на српском или енглеском језику.</w:t>
      </w:r>
    </w:p>
    <w:p w:rsidR="008875F4" w:rsidRDefault="00D02735">
      <w:pPr>
        <w:spacing w:after="150"/>
        <w:jc w:val="right"/>
      </w:pPr>
      <w:r>
        <w:rPr>
          <w:color w:val="000000"/>
        </w:rPr>
        <w:t>Прилог VIII.</w:t>
      </w:r>
    </w:p>
    <w:p w:rsidR="008875F4" w:rsidRDefault="00D02735">
      <w:pPr>
        <w:spacing w:after="120"/>
        <w:jc w:val="center"/>
      </w:pPr>
      <w:r>
        <w:rPr>
          <w:color w:val="000000"/>
        </w:rPr>
        <w:t>ОБРАЗАЦ ЗАХТЕВА ЗДРАВСТВЕНОЈ УСТАНОВИ ЗА ДОБИЈАЊЕ СТРУЧНОГ МИШЉЕЊА О ЗДРАВСТВЕНОЈ ИСП</w:t>
      </w:r>
      <w:r>
        <w:rPr>
          <w:color w:val="000000"/>
        </w:rPr>
        <w:t>РАВНОСТИ ДОДАТКА ИСХРАНИ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92"/>
        <w:gridCol w:w="5403"/>
        <w:gridCol w:w="833"/>
      </w:tblGrid>
      <w:tr w:rsidR="008875F4">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1.</w:t>
            </w:r>
          </w:p>
        </w:tc>
        <w:tc>
          <w:tcPr>
            <w:tcW w:w="8292"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Назив додатка исхрани</w:t>
            </w:r>
          </w:p>
        </w:tc>
        <w:tc>
          <w:tcPr>
            <w:tcW w:w="1308"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2.</w:t>
            </w:r>
          </w:p>
        </w:tc>
        <w:tc>
          <w:tcPr>
            <w:tcW w:w="8292"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Назив и адреса подносиоца захтева</w:t>
            </w:r>
          </w:p>
        </w:tc>
        <w:tc>
          <w:tcPr>
            <w:tcW w:w="1308"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3.</w:t>
            </w:r>
          </w:p>
        </w:tc>
        <w:tc>
          <w:tcPr>
            <w:tcW w:w="8292"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Назив и адреса произвођача у Републици Србији</w:t>
            </w:r>
          </w:p>
        </w:tc>
        <w:tc>
          <w:tcPr>
            <w:tcW w:w="1308"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4.</w:t>
            </w:r>
          </w:p>
        </w:tc>
        <w:tc>
          <w:tcPr>
            <w:tcW w:w="8292"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Назив и адреса увозника</w:t>
            </w:r>
          </w:p>
        </w:tc>
        <w:tc>
          <w:tcPr>
            <w:tcW w:w="1308"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lastRenderedPageBreak/>
              <w:t>5.</w:t>
            </w:r>
          </w:p>
        </w:tc>
        <w:tc>
          <w:tcPr>
            <w:tcW w:w="8292"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Земља порекла, назив и адреса произвођача</w:t>
            </w:r>
          </w:p>
        </w:tc>
        <w:tc>
          <w:tcPr>
            <w:tcW w:w="1308"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r w:rsidR="008875F4">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6.</w:t>
            </w:r>
          </w:p>
        </w:tc>
        <w:tc>
          <w:tcPr>
            <w:tcW w:w="8292" w:type="dxa"/>
            <w:tcBorders>
              <w:top w:val="single" w:sz="8" w:space="0" w:color="000000"/>
              <w:left w:val="single" w:sz="8" w:space="0" w:color="000000"/>
              <w:bottom w:val="single" w:sz="8" w:space="0" w:color="000000"/>
              <w:right w:val="single" w:sz="8" w:space="0" w:color="000000"/>
            </w:tcBorders>
            <w:vAlign w:val="center"/>
          </w:tcPr>
          <w:p w:rsidR="008875F4" w:rsidRDefault="00D02735">
            <w:pPr>
              <w:spacing w:after="150"/>
            </w:pPr>
            <w:r>
              <w:rPr>
                <w:color w:val="000000"/>
              </w:rPr>
              <w:t xml:space="preserve">Земља извоза, назив и адреса </w:t>
            </w:r>
            <w:r>
              <w:rPr>
                <w:color w:val="000000"/>
              </w:rPr>
              <w:t>извозника</w:t>
            </w:r>
          </w:p>
        </w:tc>
        <w:tc>
          <w:tcPr>
            <w:tcW w:w="1308" w:type="dxa"/>
            <w:tcBorders>
              <w:top w:val="single" w:sz="8" w:space="0" w:color="000000"/>
              <w:left w:val="single" w:sz="8" w:space="0" w:color="000000"/>
              <w:bottom w:val="single" w:sz="8" w:space="0" w:color="000000"/>
              <w:right w:val="single" w:sz="8" w:space="0" w:color="000000"/>
            </w:tcBorders>
            <w:vAlign w:val="center"/>
          </w:tcPr>
          <w:p w:rsidR="008875F4" w:rsidRDefault="008875F4">
            <w:pPr>
              <w:spacing w:after="150"/>
            </w:pPr>
          </w:p>
        </w:tc>
      </w:tr>
    </w:tbl>
    <w:p w:rsidR="008875F4" w:rsidRDefault="00D02735">
      <w:pPr>
        <w:spacing w:after="150"/>
      </w:pPr>
      <w:r>
        <w:rPr>
          <w:color w:val="000000"/>
        </w:rPr>
        <w:t>Прилог:*</w:t>
      </w:r>
    </w:p>
    <w:p w:rsidR="008875F4" w:rsidRDefault="00D02735">
      <w:pPr>
        <w:spacing w:after="150"/>
      </w:pPr>
      <w:r>
        <w:rPr>
          <w:color w:val="000000"/>
        </w:rPr>
        <w:t>1) стручно мишљење и категоризација Фармацеутског факултета Универзитета у Београду или Фармацеутског факултета Нови Сад Универзитета Привредна Академија у Новом Саду;</w:t>
      </w:r>
    </w:p>
    <w:p w:rsidR="008875F4" w:rsidRDefault="00D02735">
      <w:pPr>
        <w:spacing w:after="150"/>
      </w:pPr>
      <w:r>
        <w:rPr>
          <w:color w:val="000000"/>
        </w:rPr>
        <w:t>2) квалитативни и квантитативни састав додатка исхрани;</w:t>
      </w:r>
    </w:p>
    <w:p w:rsidR="008875F4" w:rsidRDefault="00D02735">
      <w:pPr>
        <w:spacing w:after="150"/>
      </w:pPr>
      <w:r>
        <w:rPr>
          <w:color w:val="000000"/>
        </w:rPr>
        <w:t>3) декларац</w:t>
      </w:r>
      <w:r>
        <w:rPr>
          <w:color w:val="000000"/>
        </w:rPr>
        <w:t>ија додатка исхрани одобрена од Фармацеутског факултета;</w:t>
      </w:r>
    </w:p>
    <w:p w:rsidR="008875F4" w:rsidRDefault="00D02735">
      <w:pPr>
        <w:spacing w:after="150"/>
      </w:pPr>
      <w:r>
        <w:rPr>
          <w:color w:val="000000"/>
        </w:rPr>
        <w:t>4) амбалажа или идејно решење амбалаже са сликовним знаком.</w:t>
      </w:r>
    </w:p>
    <w:p w:rsidR="008875F4" w:rsidRDefault="00D02735">
      <w:pPr>
        <w:spacing w:after="150"/>
      </w:pPr>
      <w:r>
        <w:rPr>
          <w:color w:val="000000"/>
        </w:rPr>
        <w:t>* Документација се доставља у виду фотокопије оригинала на српском језику.</w:t>
      </w:r>
    </w:p>
    <w:sectPr w:rsidR="008875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F4"/>
    <w:rsid w:val="008875F4"/>
    <w:rsid w:val="00D0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B7E5A-475F-4844-A486-D317EFE3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7142</Words>
  <Characters>40716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Vucicevic</dc:creator>
  <cp:lastModifiedBy>Mirjana Vucicevic</cp:lastModifiedBy>
  <cp:revision>2</cp:revision>
  <dcterms:created xsi:type="dcterms:W3CDTF">2022-04-07T14:49:00Z</dcterms:created>
  <dcterms:modified xsi:type="dcterms:W3CDTF">2022-04-07T14:49:00Z</dcterms:modified>
</cp:coreProperties>
</file>