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На основу члана 40.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8. Закона о лековима и медицинским средствима ("Службени гласник РС", број 30/10), 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Министар здравља и министар пољопривреде, трговине, шумарства и водопривреде споразумно доносе</w:t>
      </w: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ПРАВИЛНИК </w:t>
      </w:r>
      <w:r w:rsidRPr="00E52790">
        <w:rPr>
          <w:rFonts w:ascii="Times New Roman" w:hAnsi="Times New Roman" w:cs="Times New Roman"/>
          <w:sz w:val="28"/>
          <w:szCs w:val="28"/>
        </w:rPr>
        <w:br/>
      </w:r>
      <w:r w:rsidRPr="00E52790">
        <w:rPr>
          <w:rFonts w:ascii="Times New Roman" w:hAnsi="Times New Roman" w:cs="Times New Roman"/>
          <w:b/>
          <w:color w:val="333333"/>
          <w:sz w:val="28"/>
          <w:szCs w:val="28"/>
        </w:rPr>
        <w:t>О УСЛОВИМА, САДРЖАЈУ ДОКУМЕНТАЦИЈЕ И НАЧИНУ ОДОБРЕЊА ИЗМЕНЕ ИЛИ ДОПУНЕ ДОЗВОЛЕ ЗА СТАВЉАЊЕ ЛЕКА У ПРОМЕТ</w:t>
      </w:r>
    </w:p>
    <w:p w:rsidR="009D49BA" w:rsidRPr="00E52790" w:rsidRDefault="00E52790" w:rsidP="00E52790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b/>
          <w:color w:val="006633"/>
          <w:sz w:val="28"/>
          <w:szCs w:val="28"/>
        </w:rPr>
        <w:t>(Сл. гласник РС бр. 30/12)</w:t>
      </w:r>
    </w:p>
    <w:p w:rsidR="009D49BA" w:rsidRPr="00E52790" w:rsidRDefault="00E52790" w:rsidP="00E52790">
      <w:pPr>
        <w:spacing w:after="450"/>
        <w:ind w:left="750"/>
        <w:jc w:val="center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b/>
          <w:color w:val="006633"/>
          <w:sz w:val="28"/>
          <w:szCs w:val="28"/>
        </w:rPr>
        <w:t>Основни текст на снази од 18/04/</w:t>
      </w:r>
      <w:proofErr w:type="gramStart"/>
      <w:r w:rsidRPr="00E52790">
        <w:rPr>
          <w:rFonts w:ascii="Times New Roman" w:hAnsi="Times New Roman" w:cs="Times New Roman"/>
          <w:b/>
          <w:color w:val="006633"/>
          <w:sz w:val="28"/>
          <w:szCs w:val="28"/>
        </w:rPr>
        <w:t>2012 ,</w:t>
      </w:r>
      <w:proofErr w:type="gramEnd"/>
      <w:r w:rsidRPr="00E52790">
        <w:rPr>
          <w:rFonts w:ascii="Times New Roman" w:hAnsi="Times New Roman" w:cs="Times New Roman"/>
          <w:b/>
          <w:color w:val="006633"/>
          <w:sz w:val="28"/>
          <w:szCs w:val="28"/>
        </w:rPr>
        <w:t> у примени од 18/04/2012</w:t>
      </w:r>
    </w:p>
    <w:p w:rsidR="009D49BA" w:rsidRPr="00E52790" w:rsidRDefault="00E52790" w:rsidP="00E5279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b/>
          <w:color w:val="333333"/>
          <w:sz w:val="28"/>
          <w:szCs w:val="28"/>
        </w:rPr>
        <w:t>I. УВОДНЕ ОДРЕДБЕ</w:t>
      </w:r>
    </w:p>
    <w:p w:rsidR="009D49BA" w:rsidRPr="00E52790" w:rsidRDefault="00E52790" w:rsidP="00E5279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b/>
          <w:color w:val="333333"/>
          <w:sz w:val="28"/>
          <w:szCs w:val="28"/>
        </w:rPr>
        <w:t>1. Садржина правилника</w:t>
      </w: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1.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им правилником уређују се </w:t>
      </w:r>
      <w:bookmarkStart w:id="0" w:name="_GoBack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услови, садржај документације и начин одобрења измене или допуне дозволе за стављање лека у промет </w:t>
      </w:r>
      <w:bookmarkEnd w:id="0"/>
      <w:r w:rsidRPr="00E52790">
        <w:rPr>
          <w:rFonts w:ascii="Times New Roman" w:hAnsi="Times New Roman" w:cs="Times New Roman"/>
          <w:color w:val="000000"/>
          <w:sz w:val="28"/>
          <w:szCs w:val="28"/>
        </w:rPr>
        <w:t>(у даљем тексту: варијација).</w:t>
      </w: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2.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(1) Носилац дозволе за стављање лека у промет (у даљем тексту: носилац дозволе), сагласно З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акону о лековима и медицинским средствима (у даљем тексту: Закон), дужан је да стално извештава Агенцију за лекове и медицинска средства Србије (у даљем тексту: Агенција) о свим новим налазима о оцени квалитета, безбедности и ефикасности лека у промету и д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 Агенцији поднесе захтев за одобрење варијације у складу са новим налазима о леку. </w:t>
      </w:r>
    </w:p>
    <w:p w:rsidR="009D49BA" w:rsidRDefault="00E52790" w:rsidP="00E52790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(2) Захтев из става 1.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члана дат је на Обрасцу 1 који је одштампан је уз овај правилник и чини његов саставни део. </w:t>
      </w:r>
    </w:p>
    <w:p w:rsidR="00E52790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9D49BA" w:rsidRPr="00E52790" w:rsidRDefault="00E52790" w:rsidP="00E5279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b/>
          <w:color w:val="333333"/>
          <w:sz w:val="28"/>
          <w:szCs w:val="28"/>
        </w:rPr>
        <w:t>2. Тип варијације</w:t>
      </w: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3.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(1) Варијације могу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бити: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Мање или једноставније варијације - 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(у даљем тексту: 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2) Веће или сложеније варијације - варијације типа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(у даљем тексту: варијације типа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3) Варијације за које је потребан нови захтев за изд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авање дозволе.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(2) 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из става 1.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1) овог члана могу бити: 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А, 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E527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ИН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 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Б. </w:t>
      </w:r>
    </w:p>
    <w:p w:rsidR="009D49BA" w:rsidRDefault="00E52790" w:rsidP="00E52790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(3) Носилац дозволе у поступку подношења захтева за одобрење варијације договара се са Агенцијом у односу на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тип варијације из ст. 1.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члана, ако је то потребно.</w:t>
      </w:r>
    </w:p>
    <w:p w:rsidR="00E52790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9D49BA" w:rsidRPr="00E52790" w:rsidRDefault="00E52790" w:rsidP="00E5279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b/>
          <w:color w:val="333333"/>
          <w:sz w:val="28"/>
          <w:szCs w:val="28"/>
        </w:rPr>
        <w:t>а) Варијације типа IА</w:t>
      </w: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4.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(1) Варијација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 из члана 3.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варијација која има само минималан утицај, или нема утицај уопште, на квалитет, безбедност или ефикасност лека. 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2) 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 морају бити пријављене од стране носиоца дозволе у року од 12 месеци од момента примене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(Do and Tell procedure).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(3) У року из става 2.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члана, носилац дозволе може пријавити више варијација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 које су примењене у претходних 12 месеци и које се могу једном годишње пријавити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(Annual Reporting).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(4) Ако је варијација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E527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ИН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, носилац дозволе мора без одлагања, након примене, да пријави ове варијације, ради континуираног праћења лека. </w:t>
      </w:r>
    </w:p>
    <w:p w:rsidR="009D49BA" w:rsidRDefault="00E52790" w:rsidP="00E52790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(5) При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јављивање из ст.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2-4. овог члана врши се попуњавањем обрасца Захтева из члана 2.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E52790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5.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 односе се на: 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(а)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административне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промене у односу на идентитет и податке о носиоцу дозволе, произвођач или добављач би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ло ког полазног материјала, реагенса, међупроизвода, активне супстанце која се користи у производном процесу или леку;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(б)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укидање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било ког производног места, укључујући место производње активне супстанце, међупроизвода или лека, места на коме се врши пако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вање, произвођача одговорног за пуштање серије лека у промет, места на ком се врши контрола серије;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(ц)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мање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измене одобреног поступка физичко-хемијског испитивања, при чему је доказано да је нови поступак идентичан или унапређен у односу на претходни пост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упак испитивања; извршене су одговарајуће валидације и резултати показују да је нови поступак идентичан или унапређен у односу на претходни поступак испитивања;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(д)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измене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спецификација активне супстанце или ексципијенса у циљу усклађивања са ажурираном мо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нографијом Европске фармакопеје или Националне фармакопеје земље чланице, при чему је измена извршена искључиво у циљу усклађивања са фармакопејом и спецификације лека остају неизмењене;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(е)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измене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материјала за паковање који не долази у додир са леком, ко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ји не утиче на доставу, употребу, безбедност или стабилност лека;</w:t>
      </w:r>
    </w:p>
    <w:p w:rsidR="009D49BA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(ф)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успостављање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строжијих спецификацијских граница, при чему промена није последица обавезе из претходне процене да се изврши преглед спецификацијских граница и није последица неочекиваних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догађаја који су настали у току производње.</w:t>
      </w:r>
    </w:p>
    <w:p w:rsidR="00E52790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9D49BA" w:rsidRPr="00E52790" w:rsidRDefault="00E52790" w:rsidP="00E5279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b/>
          <w:color w:val="333333"/>
          <w:sz w:val="28"/>
          <w:szCs w:val="28"/>
        </w:rPr>
        <w:t>б) Варијације типа IБ</w:t>
      </w: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6.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(1) Варијација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Б из члана 3.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2.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је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варијација која није ни варијација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 ни варијација типа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, нити варијација за коју је потребан нови захтев за издавање д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озволе. 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(2) За 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Б носилац дозволе подноси захтев за одобрење варијације пре њене примене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(Tell, Wait and Do procedure),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односно варијација се може применити после добијања одобрења Агенције. 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(3) Варијације се класификују према условима датим у Прилозима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1 ,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2 , 3.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4.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који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су одштампани уз овај правилник и чине његов саставни део. 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(4) Уколико један или више услова за класификацију из става 3.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члана нису испуњени за варијацију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А, о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ва варијација може се пријавити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као варијација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Б осим ако је варијација посебно класификована као варијација типа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D49BA" w:rsidRDefault="00E52790" w:rsidP="00E52790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(5) Ако се варијација не може класификовати према условима из става 4.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члана, Агенција ту варијацију у договору са носиоц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ем дозволе сматра варијацијом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(unforeseen).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2790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9D49BA" w:rsidRPr="00E52790" w:rsidRDefault="00E52790" w:rsidP="00E5279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b/>
          <w:color w:val="333333"/>
          <w:sz w:val="28"/>
          <w:szCs w:val="28"/>
        </w:rPr>
        <w:t>в) Варијације типа типа II</w:t>
      </w: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7.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(1) Варијација типа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из члана 3.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2) је варијација која може да има значајан утицај на квалитет, безбедност или ефикасност лека. 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(2) Варијације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из става 1.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члана односе се на: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додавања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нових терапијских индикација или модификацију постојећих;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значајне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измене сажетка карактеристика лека као последица нових сазнања у вези са квалитетом, претклиничких или клиничких сазнања или сазнања у в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ези са фармаковигиланцом;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промену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режима издавања лека;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измене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изван обима одобрених спецификација, граница или критеријума прихватљивости;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значајне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измене производног процеса, формулације, спецификација или профила нечистоћа активне супстанце или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лекова који могу да имају значајан утицај на квалитет, безбедност или ефикасност лека;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6)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модификације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у производном процесу или производним местима активне супстанце за биолошке лекове;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7)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увођење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новог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Design Spac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е (измене које се односе на развој лека)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или проширење одобреног, где је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Design Space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израђен у складу са одговарајућим европским и међународним научним смерницама; 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измену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или додавање циљне врсте животиња чији се производи не користе у исхрани људи;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замену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или додавање серотипа, соја, ан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тигена или комбинације серотипова, сојева или антигена за ветеринарске вакцине против птичијег грипа, слинавке и шапа или болести плавог језика;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замену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соја у ветеринарским вакцинама против инфлуенце коња;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11)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измене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активне супстанце за сезонску, преп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андемијску или пандемијску вакцину против хуманог грипа;</w:t>
      </w:r>
    </w:p>
    <w:p w:rsidR="009D49BA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12)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измену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каренце за ветеринарски лек.</w:t>
      </w:r>
    </w:p>
    <w:p w:rsidR="00E52790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8.</w:t>
      </w:r>
      <w:proofErr w:type="gramEnd"/>
    </w:p>
    <w:p w:rsidR="009D49BA" w:rsidRDefault="00E52790" w:rsidP="00E52790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Уколико варијација доводи до ревизије сажетка карактеристика лека, обележавања паковања или упутства за лек (у даљем тексту: "информације о леку"), о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ве измене се сматрају делом те варијације и у тим случајевима носилац дозволе је дужан да достави ажуриране информације о леку са јасно назначеним изменама.</w:t>
      </w:r>
    </w:p>
    <w:p w:rsidR="00E52790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9D49BA" w:rsidRPr="00E52790" w:rsidRDefault="00E52790" w:rsidP="00E5279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b/>
          <w:color w:val="333333"/>
          <w:sz w:val="28"/>
          <w:szCs w:val="28"/>
        </w:rPr>
        <w:t>г) Варијације за које је потребан нови захтев за издавање дозволе (extension line)</w:t>
      </w: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9.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Носи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лац дозволе подноси Агенцији нови захтев за издавање дозволе за: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1) Варијације које се односе на активну супстанцу;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2) Варијације које се односе на промену јачине, фармацеутског облика или начина примене;</w:t>
      </w:r>
    </w:p>
    <w:p w:rsidR="009D49BA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3) Варијације специфичне за ветеринарске лекове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који се примењују код животиња чији се производи користе у исхрани људи.</w:t>
      </w:r>
    </w:p>
    <w:p w:rsidR="00E52790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9D49BA" w:rsidRPr="00E52790" w:rsidRDefault="00E52790" w:rsidP="00E5279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b/>
          <w:color w:val="333333"/>
          <w:sz w:val="28"/>
          <w:szCs w:val="28"/>
        </w:rPr>
        <w:t>1) Варијације које се односе на активну супстанцу</w:t>
      </w: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10.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Варијације које се односе на активну супстанцу из члана 9.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1) су: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замена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хемијске активне супстанце са другом с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ољу или естром, комплексом или дериватом који има исту терапијску функционалну групу, где карактеристике ефикасности и безбедности нису значајно другачије;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замена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различитим изомером, различитом смешом изомера, замена смеше изолованим изомером (нпр. зам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ена рацемске смеше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појединачним енантиомером), где карактеристике ефикасности и безбедности нису значајно другачије;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ц)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замена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биолошки активне супстанце са биолошком супстанцом незнатно другачије молекулске структуре, где карактеристике ефикасности и безб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едности нису значајно другачије, осим у случају: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измена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активног принципа код сезонске препандемијске или пандемијске вакцине против хуманог грипа,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замене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или додавања серотипа, соја, антигена или комбинације серотипова, сојева или антигена за ветерина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рске вакцине против птичијег грипа, слинавке и шапа или болести плавог језика,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замена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соја у ветеринарским вакцинама против инфлуенце коња;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модификација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вектора који се користи за производњу антигена, или замена полазног материјала, укључујући и нову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главну банку ћелија другог порекла, где карактеристике ефикасности и безбедности нису значајно измењене;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нови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лиганд или механизам купловања за радиофармацеутике, где карактеристике ефикасности и безбедности нису значајно другачије;</w:t>
      </w:r>
    </w:p>
    <w:p w:rsidR="009D49BA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ф)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промена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растварач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а за екстракцију или односа супстанце биљног порекла и биљног препарата, где карактеристике ефикасности и безбедности нису значајно измењене.</w:t>
      </w:r>
    </w:p>
    <w:p w:rsidR="00E52790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9D49BA" w:rsidRPr="00E52790" w:rsidRDefault="00E52790" w:rsidP="00E5279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b/>
          <w:color w:val="333333"/>
          <w:sz w:val="28"/>
          <w:szCs w:val="28"/>
        </w:rPr>
        <w:t>2) Варијације које се односе на промену јачине, фармацеутског облика или начина примене</w:t>
      </w: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11.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Варијације ко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је се односе на промену јачине, фармацеутског облика или начина примене из члана 9.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2) су: 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промене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биолошке расположивости;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промена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у фармакокинетици, тј.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промена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у брзини ослобађања активне супстанце;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ц)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промена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или додавање нове јачине (поте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нце);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промена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или додавање новог фармацеутског облика;</w:t>
      </w:r>
    </w:p>
    <w:p w:rsidR="009D49BA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промена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или додавање новог начина примене.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Код лекова за парентералну употребу, неопходно је успоставити разлику између интраартеријских, интравенских, интрамускуларних, поткожних и других начина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употребе.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Када се лекови примењују код живине, респираторни, орални и окуларни (небулизација) начин примене приликом вакцинације сматрају се еквивалентним.</w:t>
      </w:r>
      <w:proofErr w:type="gramEnd"/>
    </w:p>
    <w:p w:rsidR="00E52790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p w:rsidR="009D49BA" w:rsidRPr="00E52790" w:rsidRDefault="00E52790" w:rsidP="00E5279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b/>
          <w:color w:val="333333"/>
          <w:sz w:val="28"/>
          <w:szCs w:val="28"/>
        </w:rPr>
        <w:t>3) Варијације специфичне за ветеринарске лекове који се примењују код животиња чији се производи к</w:t>
      </w:r>
      <w:r w:rsidRPr="00E52790">
        <w:rPr>
          <w:rFonts w:ascii="Times New Roman" w:hAnsi="Times New Roman" w:cs="Times New Roman"/>
          <w:b/>
          <w:color w:val="333333"/>
          <w:sz w:val="28"/>
          <w:szCs w:val="28"/>
        </w:rPr>
        <w:t>ористе у исхрани људи</w:t>
      </w: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12.</w:t>
      </w:r>
      <w:proofErr w:type="gramEnd"/>
    </w:p>
    <w:p w:rsidR="009D49BA" w:rsidRDefault="00E52790" w:rsidP="00E52790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Варијације специфичне за ветеринарске лекове који се примењују код животиња чији се производи користе у исхрани људи из члана 9.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3) су: измена или додавање циљних врста. </w:t>
      </w:r>
    </w:p>
    <w:p w:rsidR="00E52790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9D49BA" w:rsidRPr="00E52790" w:rsidRDefault="00E52790" w:rsidP="00E5279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b/>
          <w:color w:val="333333"/>
          <w:sz w:val="28"/>
          <w:szCs w:val="28"/>
        </w:rPr>
        <w:t>3. Хитне безбедносне мере</w:t>
      </w: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13.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(1) Хи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тна безбедносна мера је варијација типа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која подразумева измене информација о леку услед нових информација које имају утицај на безбедност употребе лека, а посебно се односи на један или више делова у сажетку карактеристика лека и упутству за лек (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индикације, дозирање, контраиндикације, упозорења, циљне врсте и каренцу). 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(2) Уколико постоји ризик по јавно здравље у случају лекова за хуману употребу или, у случају ветеринарских лекова, када постоји ризик по здравље људи или животиња или по животну с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редину, носилац дозволе, иницира увођење хитне безбедносне мере, и дужан је да о томе одмах писмено обавести Агенцију.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(3) Ако Агенција нема примедбе у року од 24 часа од пријема писменог обавештења, хитне безбедносне мере из става 2.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члана сматрају с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е прихваћеним.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(4) Уколико постоји ризик по јавно здравље у случају лекова за хуману употребу или, у случају ветеринарских лекова, када постоји ризик по здравље људи или животиња или по животну средину, Агенција може да захтева увођење хитне безбедносне ме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ре.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(5) У случају увођења хитне безбедносне мере на иницијативу носиоца дозволе или на захтев Агенције, носилац дозволе подноси захтев за одобрење варијације најкасније у року од 15 дана по увођењу хитне безбедносне мере.</w:t>
      </w:r>
    </w:p>
    <w:p w:rsidR="009D49BA" w:rsidRPr="00E52790" w:rsidRDefault="00E52790" w:rsidP="00E5279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b/>
          <w:color w:val="333333"/>
          <w:sz w:val="28"/>
          <w:szCs w:val="28"/>
        </w:rPr>
        <w:t>4. Груписање варијација</w:t>
      </w: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14</w:t>
      </w:r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Захтев за одобрење варијације може да садржи више варијација у следећим случајевима: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(а)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када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се исте 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 на једну или више дозвола истог носиоца дозволе пријављују у исто време; 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(б)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када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се више варијација подноси у исто време за лек ко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ји има више фармацеутских облика, јачина и паковања, за све те варијације може да се поднесе једна пријава под условом да: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једна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од варијација у групи захтева нову дозволу за лек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(extension line),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једна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од варијација у групи је варијација типа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; све остале варијације у групи су последичне варијације те варијације типа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једна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од варијација у групи је варијација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Б; све остале варијације у групи су варијације које су последичне варијације те 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Б, 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све варија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ције у групи везане искључиво за административне промене сажетка карактеристика лека, упутства за лек и обележавања паковања,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све варијације у групи измене документације о активној супстанци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(Active substance master File, ASMF),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документације о плазм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(Plasma Master File, PMF)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или документације о антигену за вакцине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(Vaccine Antigen Master File, VAMF),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све варијације у групи се односе на побољшање производног процеса и квалитета лека или његове активне(их) супстанце(и),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све варијације у г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рупи измена које утичу на квалитет хумане пандемијске инфлуенца вакцине,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све варијације у групи измена система фармаковигиланце,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9.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све варијације у групи су последица увођења хитне безбедносне мере,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све варијације у групи везане за имплеме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нтацију хармонизованих информација у оквиру фармакотерапијске групе лекова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(given class labelling),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све варијације у групи последица процене периодичног извештаја о безбедности лека (у даљем тексту: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PSUR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све варијације у групи последица п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остмаркетиншке студије спроведене под надзором носиоца дозволе,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све варијације у групи резултат посебних обавеза за носиоца условне дозволе,</w:t>
      </w:r>
    </w:p>
    <w:p w:rsidR="009D49BA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су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све варијације у групи резултат посебних обавеза носиоца дозволе под посебним околностима.</w:t>
      </w:r>
    </w:p>
    <w:p w:rsidR="00E52790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15.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(1) Захтев за одобрење варијација из члана 14.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 подноси се на следећи начин: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један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образац, када је најмање једна варијација варијација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Б или су све варијације 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један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образац, када је најмање једна варијација ва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ријација типа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 ниједна од варијација не захтева издавање нове дозволе; 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два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обрасца и то: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захтев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за одобрење варијације;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захтев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за издавање дозволе за лек, када једна од варијација у групи захтева издавање нове дозволе.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(2) Када се у групи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варијација налазе различити типови варијација, пријава и процена врши се према варијацији "највишег" типа (нпр. ако се група састоји од варијације типа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 варијације која захтева издавање нове дозволе за лек, пријава и процена се врши као у случају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варијације која захтева издавање нове дозволе за лек). 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(3) Ако се група састоји од 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 и ИБ, пријава и процена врши се као у случају 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Б. </w:t>
      </w:r>
    </w:p>
    <w:p w:rsidR="009D49BA" w:rsidRDefault="00E52790" w:rsidP="00E52790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(4) У случају пријаве више варијација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 у једном захтеву, после процене документације Агенција обавештава носиоца дозволе за лек које од тих варијација су прихваћене, а које се не могу прихватити. </w:t>
      </w:r>
    </w:p>
    <w:p w:rsidR="00E52790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9D49BA" w:rsidRPr="00E52790" w:rsidRDefault="00E52790" w:rsidP="00E5279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b/>
          <w:color w:val="333333"/>
          <w:sz w:val="28"/>
          <w:szCs w:val="28"/>
        </w:rPr>
        <w:t>5. Садржај пријаве или захтева за одобрење варијације</w:t>
      </w: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16.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Захтев за одобрење варијације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који се у смислу овог правилника сматра потпуним захтевом садржи: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1) Пропратно писмо;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2) Испуњен Образац 1;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3) Документацију која се односи на варијацију и даје довољно података за њену процену,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4) Доказ да су плаћене прописане тарифе, односно у случају д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а један захтев садржи више варијација, тарифа се плаћа за сваку варијацију из групе посебно.</w:t>
      </w: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17.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(1) Документација из члана 16.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3) овог правилника подноси се у формату за који је издата дозвола, и то до обнове дозволе.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(2) Документација из ста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ва 1.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члана после обнове дозволе, подноси се у формату Општег техничког документа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(CTD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досије) за хумане лекове, а за ветеринарски лек, односно имунолошки ветеринарски лек у Европском формату (у даљем тексту: Европски досије), под условима прописаним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овим правилником. 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(3) Документација из става 1.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члана садржи и: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списак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свих дозвола на које се односи захтев за одобрење варијације и које се наводе у Обрасцу 1;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опис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свих поднетих варијација, укључујући: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(а)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датум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примене за сваку описану вари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јацију који се наводи у одговарајућем делу Обрасца 1, а односи се на 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А, </w:t>
      </w:r>
    </w:p>
    <w:p w:rsidR="009D49BA" w:rsidRPr="00E52790" w:rsidRDefault="00E52790" w:rsidP="00E52790">
      <w:pPr>
        <w:spacing w:after="90"/>
        <w:ind w:left="12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(б) опис свих варијација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 примењених у последњих 12 месеци које нису пријављене, а односе се на 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А које не захтевају пријаву варијације без одл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агања (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E527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ИН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3)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образложење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за подношење захтева за групне варијације.</w:t>
      </w:r>
    </w:p>
    <w:p w:rsidR="009D49BA" w:rsidRDefault="00E52790" w:rsidP="00E52790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(4) Документација за поједине типове варијација наведена је у Прилозима 1, 2, 3 и 4 из члана 6.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правилника. </w:t>
      </w:r>
    </w:p>
    <w:p w:rsidR="00E52790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18.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(1) Пропратно писмо из члана 16.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1.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) овог правилника, садржи: 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1) Лого, назив и адресу носиоца дозволе;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2) Предмет: пријаву 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А, захтев за одобрење 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Б, или захтев за одобрење 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; захтев за одобрење групе варијација или захтев за одобрење варија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ције која захтева издавање нове дозволе за лек; 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3) Уколико је примењиво, навести да је варијација непредвиђена постојећом класификацијом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(unforeseen);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4) Име лека (заштићено име,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INN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или генеричко име, фармацеутски облик, јачину). Име лека мора бити иден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тично наведено у обрасцу као и у документацији; 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5) Величину паковања лека;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6) Име произвођача;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7) Датум и потпис одговорног лица за документацију носиоца дозволе.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(2) Пропратно писмо односи се само на једну варијацију, осим код груписања варијација и код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пријаве варијација у току календарске године, када пропратно писмо садржи све варијације.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(3) У случају груписања варијација, у пропратном писму потребно је навести да се захтев односи на групу варијација са образложењем за подношење захтева за групне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варијације из члана 17.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став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3.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тачка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3) овог правилника.</w:t>
      </w: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19.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(1) Захтев за одобрење варијације подноси носилац дозволе.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(2) Агенција је дужна да у року од 15 дана од дана пријема захтева за одобрење варијације изврши формалну процену документације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и писмено обавести носиоца дозволе да ли је захтев формално потпун.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(3) Писмено обавештење из става 2.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члана за варијације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 и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E52790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ИН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садржи и потврду да је извршено евидентирање пријављене варијације, чиме се сматра да је варијација прихваћена. 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(4) Ако је захтев за одобрење варијације непотпун, Агенција писмено обавештава о томе носиоца дозволе са захтевом за допуну захтева у року од 30 дана од дана достављања писменог обавештења.</w:t>
      </w:r>
    </w:p>
    <w:p w:rsidR="009D49BA" w:rsidRDefault="00E52790" w:rsidP="00E52790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(5) Ако захтев за одобрење варијације не допуни у року из става 4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члана, Агенција одбацује захтев за одобрење варијације као непотпун.</w:t>
      </w:r>
    </w:p>
    <w:p w:rsidR="00E52790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20.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(1) После утврђивања потпуности захтева Агенција врши стручну процену захтева за одобрење варијације.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(2) У току поступка стручне процене захтева за одобрење варијације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Агенција може писмено, у року према закону којим се уређује општи управни поступак, да тражи од носиоца дозволе додатне информације или документацију која је потребна за стручну процену захтева за одобрење варијације.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(3) Агенција у року од 90 дана од дана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пријема потпуног захтева за одобрење варијације може да прихвати, односно одбије захтев за увођење варијације.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(4) Рок из става 3.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члана престаје да тече од дана када је Агенција затражила додатне информације или документацију из става 2.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члана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до дана достављања тражених података од стране носиоца дозволе.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(5) У случају неприхватања појединих варијација, носилац дозволе мора без одлагања обуставити њихову примену.</w:t>
      </w:r>
    </w:p>
    <w:p w:rsidR="009D49BA" w:rsidRDefault="00E52790" w:rsidP="00E52790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(6) Агенција доноси одлуку о варијацији у року од 210 дана од дана утврђивања форм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алне потпуности за варијације за које је потребан нови захтев за издавање дозволе.</w:t>
      </w:r>
    </w:p>
    <w:p w:rsidR="00E52790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21.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За варијације за које је потребан нови захтев за издавање дозволе, примењују се одредбе прописа којима се уређује садржај захтева за издавање дозволе, садржај док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ументације, као и начин добијања дозволе.</w:t>
      </w:r>
      <w:proofErr w:type="gramEnd"/>
    </w:p>
    <w:p w:rsidR="009D49BA" w:rsidRPr="00E52790" w:rsidRDefault="00E52790" w:rsidP="00E5279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6. Вакцина против вируса хумане инфлуенце</w:t>
      </w: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22.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(1) Варијација која се односи на вакцину против вируса хумане инфлуенце, сматра се варијацијом типа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(2) У случају да се ради о годишњој измени соја у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вакцини у складу са препорукама Светске здравствене организације, носилац дозволе подноси захтев за одобрење варијације типа типа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за коју Агенција доноси одлуку најкасније у року од 45 дана од дана пријема потпуног захтева. </w:t>
      </w:r>
    </w:p>
    <w:p w:rsidR="009D49BA" w:rsidRDefault="00E52790" w:rsidP="00E52790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(3) Изузетно, у случају пан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демије вируса хумане инфлуенце, Агенција може, да донесе привремену одлуку о варијацији без потпуне претклиничке и клиничке документације.</w:t>
      </w:r>
    </w:p>
    <w:p w:rsidR="00E52790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9D49BA" w:rsidRPr="00E52790" w:rsidRDefault="00E52790" w:rsidP="00E5279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b/>
          <w:color w:val="333333"/>
          <w:sz w:val="28"/>
          <w:szCs w:val="28"/>
        </w:rPr>
        <w:t>7. Класификација варијација</w:t>
      </w: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23.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(1) Варијације из члана 3.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правилника, у односу на обим и врсту измена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могу бити: 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1) Административне промене;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2) Промене које се односе на квалитет;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>3) Промене са аспекта безбедности, ефикасности, фармаковигиланце;</w:t>
      </w:r>
    </w:p>
    <w:p w:rsidR="009D49BA" w:rsidRPr="00E52790" w:rsidRDefault="00E52790" w:rsidP="00E52790">
      <w:pPr>
        <w:spacing w:after="90"/>
        <w:ind w:left="600"/>
        <w:jc w:val="both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4) Промене документације о плазми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(Plasma Master File, PMF)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или документације о антигену за вакцине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(Vaccine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Antigen Master File, VAMF).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9BA" w:rsidRDefault="00E52790" w:rsidP="00E52790">
      <w:pPr>
        <w:spacing w:after="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(2) Врста и садржај документације за варијације из става 1.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овог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члана дати су у Прилозима 1, 2, 3 и 4 који су одштампани уз овај правилник и чине његов саставни део.</w:t>
      </w:r>
    </w:p>
    <w:p w:rsidR="00E52790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9D49BA" w:rsidRPr="00E52790" w:rsidRDefault="00E52790" w:rsidP="00E52790">
      <w:pPr>
        <w:spacing w:after="45"/>
        <w:jc w:val="center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b/>
          <w:color w:val="333333"/>
          <w:sz w:val="28"/>
          <w:szCs w:val="28"/>
        </w:rPr>
        <w:t>ЗАВРШНА ОДРЕДБА</w:t>
      </w:r>
    </w:p>
    <w:p w:rsidR="009D49BA" w:rsidRPr="00E52790" w:rsidRDefault="00E52790" w:rsidP="00E52790">
      <w:pPr>
        <w:spacing w:after="22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b/>
          <w:color w:val="000000"/>
          <w:sz w:val="28"/>
          <w:szCs w:val="28"/>
        </w:rPr>
        <w:t>Члан 24.</w:t>
      </w:r>
      <w:proofErr w:type="gramEnd"/>
    </w:p>
    <w:p w:rsidR="009D49BA" w:rsidRPr="00E52790" w:rsidRDefault="00E52790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Овај правилник ступа на снагу о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смог дана од дана објављивања у "Службеном гласнику Републике Србије".</w:t>
      </w:r>
      <w:proofErr w:type="gramEnd"/>
    </w:p>
    <w:p w:rsidR="009D49BA" w:rsidRPr="00E52790" w:rsidRDefault="009D49BA" w:rsidP="00E52790">
      <w:pPr>
        <w:spacing w:after="90"/>
        <w:jc w:val="both"/>
        <w:rPr>
          <w:rFonts w:ascii="Times New Roman" w:hAnsi="Times New Roman" w:cs="Times New Roman"/>
          <w:sz w:val="28"/>
          <w:szCs w:val="28"/>
        </w:rPr>
      </w:pPr>
    </w:p>
    <w:p w:rsidR="009D49BA" w:rsidRPr="00E52790" w:rsidRDefault="00E52790" w:rsidP="00E52790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Број 110-00-00136/2011-03 </w:t>
      </w:r>
      <w:r w:rsidRPr="00E52790">
        <w:rPr>
          <w:rFonts w:ascii="Times New Roman" w:hAnsi="Times New Roman" w:cs="Times New Roman"/>
          <w:sz w:val="28"/>
          <w:szCs w:val="28"/>
        </w:rPr>
        <w:br/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У Београду, 27.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децембра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2011.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године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9BA" w:rsidRPr="00E52790" w:rsidRDefault="00E52790" w:rsidP="00E52790">
      <w:pPr>
        <w:spacing w:after="90"/>
        <w:rPr>
          <w:rFonts w:ascii="Times New Roman" w:hAnsi="Times New Roman" w:cs="Times New Roman"/>
          <w:sz w:val="28"/>
          <w:szCs w:val="28"/>
        </w:rPr>
      </w:pP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Министар здравља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2790">
        <w:rPr>
          <w:rFonts w:ascii="Times New Roman" w:hAnsi="Times New Roman" w:cs="Times New Roman"/>
          <w:sz w:val="28"/>
          <w:szCs w:val="28"/>
        </w:rPr>
        <w:br/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проф.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2790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gramEnd"/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Зоран Станковић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49BA" w:rsidRPr="00E52790" w:rsidRDefault="00E52790" w:rsidP="00E52790">
      <w:pPr>
        <w:spacing w:after="90"/>
        <w:rPr>
          <w:rFonts w:ascii="Times New Roman" w:hAnsi="Times New Roman" w:cs="Times New Roman"/>
          <w:sz w:val="28"/>
          <w:szCs w:val="28"/>
        </w:rPr>
      </w:pP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Министар пољопривреде, трговине, </w:t>
      </w:r>
      <w:r w:rsidRPr="00E52790">
        <w:rPr>
          <w:rFonts w:ascii="Times New Roman" w:hAnsi="Times New Roman" w:cs="Times New Roman"/>
          <w:sz w:val="28"/>
          <w:szCs w:val="28"/>
        </w:rPr>
        <w:br/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шумарства и водопривреде, </w:t>
      </w:r>
      <w:r w:rsidRPr="00E52790">
        <w:rPr>
          <w:rFonts w:ascii="Times New Roman" w:hAnsi="Times New Roman" w:cs="Times New Roman"/>
          <w:sz w:val="28"/>
          <w:szCs w:val="28"/>
        </w:rPr>
        <w:br/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Душан 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>Петровић</w:t>
      </w:r>
      <w:r w:rsidRPr="00E527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9D49BA" w:rsidRPr="00E527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BA"/>
    <w:rsid w:val="009D49BA"/>
    <w:rsid w:val="00E5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3098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2</cp:revision>
  <dcterms:created xsi:type="dcterms:W3CDTF">2019-02-05T11:57:00Z</dcterms:created>
  <dcterms:modified xsi:type="dcterms:W3CDTF">2019-02-05T11:57:00Z</dcterms:modified>
</cp:coreProperties>
</file>